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CD6E6A">
      <w:pPr>
        <w:spacing w:line="576" w:lineRule="exact"/>
        <w:jc w:val="center"/>
        <w:outlineLvl w:val="0"/>
        <w:rPr>
          <w:rFonts w:hint="eastAsia" w:ascii="方正小标宋简体" w:hAnsi="方正小标宋简体" w:eastAsia="方正小标宋简体" w:cs="方正小标宋简体"/>
          <w:b w:val="0"/>
          <w:bCs w:val="0"/>
          <w:color w:val="auto"/>
          <w:sz w:val="44"/>
          <w:szCs w:val="44"/>
        </w:rPr>
      </w:pPr>
      <w:r>
        <w:rPr>
          <w:rFonts w:hint="eastAsia" w:ascii="方正小标宋简体" w:hAnsi="方正小标宋简体" w:eastAsia="方正小标宋简体" w:cs="方正小标宋简体"/>
          <w:b w:val="0"/>
          <w:bCs w:val="0"/>
          <w:color w:val="auto"/>
          <w:sz w:val="44"/>
          <w:szCs w:val="44"/>
        </w:rPr>
        <w:t>铜川市物业服务收费管理实施细则</w:t>
      </w:r>
    </w:p>
    <w:p w14:paraId="5299D402">
      <w:pPr>
        <w:spacing w:line="576" w:lineRule="exact"/>
        <w:jc w:val="center"/>
        <w:rPr>
          <w:rFonts w:hint="eastAsia" w:ascii="方正小标宋简体" w:hAnsi="方正小标宋简体" w:eastAsia="方正小标宋简体" w:cs="方正小标宋简体"/>
          <w:b w:val="0"/>
          <w:bCs w:val="0"/>
          <w:color w:val="auto"/>
          <w:sz w:val="44"/>
          <w:szCs w:val="44"/>
          <w:lang w:val="en-US" w:eastAsia="zh-CN"/>
        </w:rPr>
      </w:pPr>
      <w:r>
        <w:rPr>
          <w:rFonts w:hint="eastAsia" w:ascii="方正小标宋简体" w:hAnsi="方正小标宋简体" w:eastAsia="方正小标宋简体" w:cs="方正小标宋简体"/>
          <w:b w:val="0"/>
          <w:bCs w:val="0"/>
          <w:color w:val="auto"/>
          <w:sz w:val="44"/>
          <w:szCs w:val="44"/>
          <w:lang w:val="en-US" w:eastAsia="zh-CN"/>
        </w:rPr>
        <w:t xml:space="preserve"> </w:t>
      </w:r>
      <w:r>
        <w:rPr>
          <w:rFonts w:hint="eastAsia" w:ascii="方正小标宋简体" w:hAnsi="方正小标宋简体" w:eastAsia="方正小标宋简体" w:cs="方正小标宋简体"/>
          <w:b w:val="0"/>
          <w:bCs w:val="0"/>
          <w:color w:val="auto"/>
          <w:sz w:val="44"/>
          <w:szCs w:val="44"/>
        </w:rPr>
        <w:t>（</w:t>
      </w:r>
      <w:r>
        <w:rPr>
          <w:rFonts w:hint="eastAsia" w:ascii="方正小标宋简体" w:hAnsi="方正小标宋简体" w:eastAsia="方正小标宋简体" w:cs="方正小标宋简体"/>
          <w:b w:val="0"/>
          <w:bCs w:val="0"/>
          <w:color w:val="auto"/>
          <w:sz w:val="44"/>
          <w:szCs w:val="44"/>
          <w:lang w:val="en-US" w:eastAsia="zh-CN"/>
        </w:rPr>
        <w:t>征求意见稿</w:t>
      </w:r>
      <w:r>
        <w:rPr>
          <w:rFonts w:hint="eastAsia" w:ascii="方正小标宋简体" w:hAnsi="方正小标宋简体" w:eastAsia="方正小标宋简体" w:cs="方正小标宋简体"/>
          <w:b w:val="0"/>
          <w:bCs w:val="0"/>
          <w:color w:val="auto"/>
          <w:sz w:val="44"/>
          <w:szCs w:val="44"/>
        </w:rPr>
        <w:t>）</w:t>
      </w:r>
    </w:p>
    <w:p w14:paraId="14ECB26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方正小标宋简体" w:hAnsi="方正小标宋简体" w:eastAsia="方正小标宋简体" w:cs="方正小标宋简体"/>
          <w:b w:val="0"/>
          <w:bCs w:val="0"/>
          <w:color w:val="auto"/>
          <w:sz w:val="44"/>
          <w:szCs w:val="44"/>
          <w:lang w:val="en-US" w:eastAsia="zh-CN"/>
        </w:rPr>
      </w:pPr>
    </w:p>
    <w:p w14:paraId="4F04C221">
      <w:pPr>
        <w:numPr>
          <w:ilvl w:val="0"/>
          <w:numId w:val="1"/>
        </w:numPr>
        <w:spacing w:beforeLines="50" w:afterLines="50" w:line="576" w:lineRule="exact"/>
        <w:jc w:val="center"/>
        <w:outlineLvl w:val="0"/>
        <w:rPr>
          <w:rFonts w:hint="eastAsia" w:ascii="黑体" w:hAnsi="黑体" w:eastAsia="黑体" w:cs="仿宋_GB2312"/>
          <w:bCs/>
          <w:color w:val="auto"/>
          <w:sz w:val="32"/>
          <w:szCs w:val="32"/>
        </w:rPr>
      </w:pPr>
      <w:r>
        <w:rPr>
          <w:rFonts w:hint="eastAsia" w:ascii="黑体" w:hAnsi="黑体" w:eastAsia="黑体" w:cs="仿宋_GB2312"/>
          <w:bCs/>
          <w:color w:val="auto"/>
          <w:sz w:val="32"/>
          <w:szCs w:val="32"/>
        </w:rPr>
        <w:t xml:space="preserve"> 总  则</w:t>
      </w:r>
    </w:p>
    <w:p w14:paraId="08CC1C37">
      <w:pPr>
        <w:keepNext w:val="0"/>
        <w:keepLines w:val="0"/>
        <w:pageBreakBefore w:val="0"/>
        <w:widowControl w:val="0"/>
        <w:numPr>
          <w:ilvl w:val="0"/>
          <w:numId w:val="0"/>
        </w:numPr>
        <w:kinsoku/>
        <w:wordWrap/>
        <w:overflowPunct/>
        <w:topLinePunct w:val="0"/>
        <w:autoSpaceDE/>
        <w:autoSpaceDN/>
        <w:bidi w:val="0"/>
        <w:adjustRightInd/>
        <w:snapToGrid/>
        <w:spacing w:line="540" w:lineRule="exact"/>
        <w:jc w:val="both"/>
        <w:textAlignment w:val="auto"/>
        <w:outlineLvl w:val="0"/>
        <w:rPr>
          <w:rFonts w:hint="eastAsia" w:ascii="黑体" w:hAnsi="黑体" w:eastAsia="黑体" w:cs="仿宋_GB2312"/>
          <w:bCs/>
          <w:color w:val="auto"/>
          <w:sz w:val="32"/>
          <w:szCs w:val="32"/>
        </w:rPr>
      </w:pPr>
    </w:p>
    <w:p w14:paraId="3AB0BAF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第一条</w:t>
      </w:r>
      <w:r>
        <w:rPr>
          <w:rFonts w:hint="eastAsia" w:ascii="仿宋_GB2312" w:hAnsi="仿宋_GB2312" w:eastAsia="仿宋_GB2312" w:cs="仿宋_GB2312"/>
          <w:color w:val="auto"/>
          <w:sz w:val="32"/>
          <w:szCs w:val="32"/>
        </w:rPr>
        <w:t xml:space="preserve">  为规范物业服务收费行为，维护业主或者使用人（以下统称“业主”）和物业服务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的合法权益，根据《中华人民共和国民法典》《中华人民共和国价格法》《</w:t>
      </w:r>
      <w:r>
        <w:rPr>
          <w:rFonts w:hint="eastAsia" w:ascii="仿宋_GB2312" w:hAnsi="仿宋_GB2312" w:eastAsia="仿宋_GB2312" w:cs="仿宋_GB2312"/>
          <w:color w:val="auto"/>
          <w:sz w:val="32"/>
          <w:szCs w:val="32"/>
          <w:lang w:eastAsia="zh-CN"/>
        </w:rPr>
        <w:t>物业管理条例</w:t>
      </w:r>
      <w:r>
        <w:rPr>
          <w:rFonts w:hint="eastAsia" w:ascii="仿宋_GB2312" w:hAnsi="仿宋_GB2312" w:eastAsia="仿宋_GB2312" w:cs="仿宋_GB2312"/>
          <w:color w:val="auto"/>
          <w:sz w:val="32"/>
          <w:szCs w:val="32"/>
        </w:rPr>
        <w:t>》《陕西省物业服务管理条例》《陕西省物业服务收费管理办法》等法律法规,结合我市实际，制定本细则。</w:t>
      </w:r>
    </w:p>
    <w:p w14:paraId="1E5B979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第二条</w:t>
      </w:r>
      <w:r>
        <w:rPr>
          <w:rFonts w:hint="eastAsia" w:ascii="仿宋_GB2312" w:hAnsi="仿宋_GB2312" w:eastAsia="仿宋_GB2312" w:cs="仿宋_GB2312"/>
          <w:color w:val="auto"/>
          <w:sz w:val="32"/>
          <w:szCs w:val="32"/>
        </w:rPr>
        <w:t xml:space="preserve">  本细则适用于</w:t>
      </w:r>
      <w:r>
        <w:rPr>
          <w:rFonts w:hint="eastAsia" w:ascii="仿宋_GB2312" w:hAnsi="仿宋_GB2312" w:eastAsia="仿宋_GB2312" w:cs="仿宋_GB2312"/>
          <w:color w:val="auto"/>
          <w:sz w:val="32"/>
          <w:szCs w:val="32"/>
          <w:lang w:eastAsia="zh-CN"/>
        </w:rPr>
        <w:t>本</w:t>
      </w:r>
      <w:r>
        <w:rPr>
          <w:rFonts w:hint="eastAsia" w:ascii="仿宋_GB2312" w:hAnsi="仿宋_GB2312" w:eastAsia="仿宋_GB2312" w:cs="仿宋_GB2312"/>
          <w:color w:val="auto"/>
          <w:sz w:val="32"/>
          <w:szCs w:val="32"/>
        </w:rPr>
        <w:t>市行政区域内的物业服务收费行为及其监督管理。</w:t>
      </w:r>
    </w:p>
    <w:p w14:paraId="6C77BA6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仿宋_GB2312"/>
          <w:bCs/>
          <w:color w:val="auto"/>
          <w:sz w:val="32"/>
          <w:szCs w:val="32"/>
        </w:rPr>
        <w:t>第三条</w:t>
      </w:r>
      <w:r>
        <w:rPr>
          <w:rFonts w:hint="eastAsia" w:ascii="仿宋_GB2312" w:hAnsi="仿宋_GB2312" w:eastAsia="仿宋_GB2312" w:cs="仿宋_GB2312"/>
          <w:color w:val="auto"/>
          <w:sz w:val="32"/>
          <w:szCs w:val="32"/>
        </w:rPr>
        <w:t xml:space="preserve">  本细则所称物业服务收费，是指物业服务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按照合同约定向业主提供服务所收取费用的统称，包括物业服务费、物业管理区域内机动车停放服务费（以下统称“停车服务费”）和其他服务费。</w:t>
      </w:r>
    </w:p>
    <w:p w14:paraId="1C058817">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物业服务费是指物业服务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按照物业服务合同的约定，在物业管理区域内提供房屋、配套设施设备以及相关场地进行日常管理、维护保养、绿化养护、卫生保洁、秩序维护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安全防范等具有公共性和普遍性的服务向业主收取的费用。</w:t>
      </w:r>
    </w:p>
    <w:p w14:paraId="21BE0ED3">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停车服务费是指物业服务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接受业主或者业主大会的委托，按照停放服务合同约定，在物业管理区域内对指定场地（所）停放的机动车进行秩序管理、提供服务所收取的费用。</w:t>
      </w:r>
    </w:p>
    <w:p w14:paraId="6ACAA597">
      <w:pPr>
        <w:keepNext w:val="0"/>
        <w:keepLines w:val="0"/>
        <w:pageBreakBefore w:val="0"/>
        <w:kinsoku/>
        <w:wordWrap/>
        <w:overflowPunct/>
        <w:topLinePunct w:val="0"/>
        <w:autoSpaceDE/>
        <w:autoSpaceDN/>
        <w:bidi w:val="0"/>
        <w:adjustRightInd/>
        <w:snapToGrid/>
        <w:spacing w:line="540" w:lineRule="exact"/>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其他服务费是指物业服务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根据业主委托或者个性化需求提供《前期物业服务合同》或者《物业服务合同》内容以外且由业主自愿选择的服务项目所收取的相应费用。</w:t>
      </w:r>
    </w:p>
    <w:p w14:paraId="2542B588">
      <w:pPr>
        <w:keepNext w:val="0"/>
        <w:keepLines w:val="0"/>
        <w:pageBreakBefore w:val="0"/>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auto"/>
          <w:sz w:val="32"/>
          <w:szCs w:val="32"/>
          <w:u w:val="none"/>
          <w:lang w:eastAsia="zh-CN"/>
        </w:rPr>
      </w:pPr>
      <w:r>
        <w:rPr>
          <w:rFonts w:hint="eastAsia" w:ascii="黑体" w:hAnsi="黑体" w:eastAsia="黑体" w:cs="仿宋_GB2312"/>
          <w:bCs/>
          <w:color w:val="auto"/>
          <w:sz w:val="32"/>
          <w:szCs w:val="32"/>
        </w:rPr>
        <w:t>第</w:t>
      </w:r>
      <w:r>
        <w:rPr>
          <w:rFonts w:hint="eastAsia" w:ascii="黑体" w:hAnsi="黑体" w:eastAsia="黑体" w:cs="仿宋_GB2312"/>
          <w:bCs/>
          <w:color w:val="auto"/>
          <w:sz w:val="32"/>
          <w:szCs w:val="32"/>
          <w:lang w:eastAsia="zh-CN"/>
        </w:rPr>
        <w:t>四</w:t>
      </w:r>
      <w:r>
        <w:rPr>
          <w:rFonts w:hint="eastAsia" w:ascii="黑体" w:hAnsi="黑体" w:eastAsia="黑体" w:cs="仿宋_GB2312"/>
          <w:bCs/>
          <w:color w:val="auto"/>
          <w:sz w:val="32"/>
          <w:szCs w:val="32"/>
        </w:rPr>
        <w:t>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shd w:val="clear" w:color="auto" w:fill="FFFFFF"/>
        </w:rPr>
        <w:t>物业服务收费按照统一政策、属地管理原则，实行市、区（县）分级管理。</w:t>
      </w:r>
      <w:r>
        <w:rPr>
          <w:rFonts w:hint="eastAsia" w:ascii="仿宋_GB2312" w:hAnsi="仿宋_GB2312" w:eastAsia="仿宋_GB2312" w:cs="仿宋_GB2312"/>
          <w:color w:val="auto"/>
          <w:sz w:val="32"/>
          <w:szCs w:val="32"/>
        </w:rPr>
        <w:t>市发展改革委</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同市住建局、市市场监</w:t>
      </w:r>
      <w:r>
        <w:rPr>
          <w:rFonts w:hint="eastAsia" w:ascii="仿宋_GB2312" w:hAnsi="仿宋_GB2312" w:eastAsia="仿宋_GB2312" w:cs="仿宋_GB2312"/>
          <w:color w:val="auto"/>
          <w:sz w:val="32"/>
          <w:szCs w:val="32"/>
          <w:lang w:eastAsia="zh-CN"/>
        </w:rPr>
        <w:t>管</w:t>
      </w:r>
      <w:r>
        <w:rPr>
          <w:rFonts w:hint="eastAsia" w:ascii="仿宋_GB2312" w:hAnsi="仿宋_GB2312" w:eastAsia="仿宋_GB2312" w:cs="仿宋_GB2312"/>
          <w:color w:val="auto"/>
          <w:sz w:val="32"/>
          <w:szCs w:val="32"/>
        </w:rPr>
        <w:t>局负责制定我市物业服务收费管理实施细则和有关政策规定，指导全市物业服务收费的监督管理工作。各区（县）发展改革部门、住建部门、市场监管部门按照各自管理权限，分别负责辖区内的物业服务收费监督管理工作。</w:t>
      </w:r>
      <w:r>
        <w:rPr>
          <w:rFonts w:hint="eastAsia" w:ascii="仿宋_GB2312" w:hAnsi="仿宋_GB2312" w:eastAsia="仿宋_GB2312" w:cs="仿宋_GB2312"/>
          <w:b w:val="0"/>
          <w:bCs w:val="0"/>
          <w:color w:val="auto"/>
          <w:sz w:val="32"/>
          <w:szCs w:val="32"/>
          <w:u w:val="none"/>
          <w:lang w:eastAsia="zh-CN"/>
        </w:rPr>
        <w:t>业主、业主大会、业主委员会、建设单位、物业服务人之间在物业管理活动中发生争议的，可以向街道办（乡镇政府）申请调解，也可以依法提起诉讼或者仲裁。</w:t>
      </w:r>
    </w:p>
    <w:p w14:paraId="0995BA17">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w:t>
      </w:r>
      <w:r>
        <w:rPr>
          <w:rFonts w:hint="eastAsia" w:ascii="黑体" w:hAnsi="黑体" w:eastAsia="黑体" w:cs="仿宋_GB2312"/>
          <w:bCs/>
          <w:color w:val="auto"/>
          <w:sz w:val="32"/>
          <w:szCs w:val="32"/>
          <w:lang w:eastAsia="zh-CN"/>
        </w:rPr>
        <w:t>五</w:t>
      </w:r>
      <w:r>
        <w:rPr>
          <w:rFonts w:hint="eastAsia" w:ascii="黑体" w:hAnsi="黑体" w:eastAsia="黑体" w:cs="仿宋_GB2312"/>
          <w:bCs/>
          <w:color w:val="auto"/>
          <w:sz w:val="32"/>
          <w:szCs w:val="32"/>
        </w:rPr>
        <w:t>条</w:t>
      </w:r>
      <w:r>
        <w:rPr>
          <w:rFonts w:hint="eastAsia" w:ascii="仿宋_GB2312" w:hAnsi="仿宋_GB2312" w:eastAsia="仿宋_GB2312" w:cs="仿宋_GB2312"/>
          <w:color w:val="auto"/>
          <w:sz w:val="32"/>
          <w:szCs w:val="32"/>
        </w:rPr>
        <w:t xml:space="preserve">  物业服务收费应当遵循公平、公开、合理、质价相符的原则，按照物业服务的不同性质和特点，分别实行政府指导价和市场调节价。</w:t>
      </w:r>
    </w:p>
    <w:p w14:paraId="3208EC3E">
      <w:pPr>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未成立业主大会的住宅小区(多层、高层）、保障性住房、房改房、老旧住宅的物业服务费和停车服务费实行政府指导价。</w:t>
      </w:r>
    </w:p>
    <w:p w14:paraId="51778CC3">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别墅、公寓、商业、办公写字楼、非住宅等和已成立业主大会的住宅小区物业服务费和停车服务费实行市场调节价。</w:t>
      </w:r>
    </w:p>
    <w:p w14:paraId="53AA89A2">
      <w:pPr>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其他服务费实行市场调节价。</w:t>
      </w:r>
    </w:p>
    <w:p w14:paraId="0779FE59">
      <w:pPr>
        <w:keepNext w:val="0"/>
        <w:keepLines w:val="0"/>
        <w:pageBreakBefore w:val="0"/>
        <w:kinsoku/>
        <w:wordWrap/>
        <w:overflowPunct/>
        <w:topLinePunct w:val="0"/>
        <w:autoSpaceDE/>
        <w:autoSpaceDN/>
        <w:bidi w:val="0"/>
        <w:adjustRightInd/>
        <w:snapToGrid/>
        <w:spacing w:line="540" w:lineRule="exact"/>
        <w:ind w:firstLine="64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业主将住宅改变为经营性用房的，除遵守法律、法规以及管理规约外，应当经有利害关系的业主同意，其物业服务</w:t>
      </w:r>
      <w:r>
        <w:rPr>
          <w:rFonts w:hint="eastAsia" w:ascii="仿宋_GB2312" w:hAnsi="仿宋_GB2312" w:eastAsia="仿宋_GB2312" w:cs="仿宋_GB2312"/>
          <w:color w:val="auto"/>
          <w:sz w:val="32"/>
          <w:szCs w:val="32"/>
          <w:lang w:eastAsia="zh-CN"/>
        </w:rPr>
        <w:t>收</w:t>
      </w:r>
      <w:r>
        <w:rPr>
          <w:rFonts w:hint="eastAsia" w:ascii="仿宋_GB2312" w:hAnsi="仿宋_GB2312" w:eastAsia="仿宋_GB2312" w:cs="仿宋_GB2312"/>
          <w:color w:val="auto"/>
          <w:sz w:val="32"/>
          <w:szCs w:val="32"/>
        </w:rPr>
        <w:t>费实行市场调节价。</w:t>
      </w:r>
    </w:p>
    <w:p w14:paraId="0773B069">
      <w:pPr>
        <w:keepNext w:val="0"/>
        <w:keepLines w:val="0"/>
        <w:pageBreakBefore w:val="0"/>
        <w:widowControl/>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b w:val="0"/>
          <w:bCs w:val="0"/>
          <w:color w:val="auto"/>
          <w:sz w:val="32"/>
          <w:szCs w:val="32"/>
          <w:lang w:eastAsia="zh-CN"/>
        </w:rPr>
      </w:pPr>
      <w:r>
        <w:rPr>
          <w:rFonts w:hint="eastAsia" w:ascii="黑体" w:hAnsi="黑体" w:eastAsia="黑体" w:cs="仿宋_GB2312"/>
          <w:bCs/>
          <w:color w:val="auto"/>
          <w:sz w:val="32"/>
          <w:szCs w:val="32"/>
        </w:rPr>
        <w:t>第六条</w:t>
      </w:r>
      <w:r>
        <w:rPr>
          <w:rFonts w:hint="eastAsia" w:ascii="仿宋_GB2312" w:hAnsi="仿宋_GB2312" w:eastAsia="仿宋_GB2312" w:cs="仿宋_GB2312"/>
          <w:color w:val="auto"/>
          <w:sz w:val="32"/>
          <w:szCs w:val="32"/>
        </w:rPr>
        <w:t xml:space="preserve">  实</w:t>
      </w:r>
      <w:r>
        <w:rPr>
          <w:rFonts w:hint="eastAsia" w:ascii="仿宋_GB2312" w:hAnsi="仿宋_GB2312" w:eastAsia="仿宋_GB2312" w:cs="仿宋_GB2312"/>
          <w:b w:val="0"/>
          <w:bCs w:val="0"/>
          <w:color w:val="auto"/>
          <w:sz w:val="32"/>
          <w:szCs w:val="32"/>
        </w:rPr>
        <w:t>行政府指导价的物业服务收费标准由</w:t>
      </w:r>
      <w:r>
        <w:rPr>
          <w:rFonts w:hint="eastAsia" w:ascii="仿宋_GB2312" w:hAnsi="仿宋_GB2312" w:eastAsia="仿宋_GB2312" w:cs="仿宋_GB2312"/>
          <w:b w:val="0"/>
          <w:bCs w:val="0"/>
          <w:color w:val="auto"/>
          <w:sz w:val="32"/>
          <w:szCs w:val="32"/>
          <w:shd w:val="clear" w:color="auto" w:fill="FFFFFF"/>
        </w:rPr>
        <w:t>市、县人民政府制定，具体工作由各级</w:t>
      </w:r>
      <w:r>
        <w:rPr>
          <w:rFonts w:hint="eastAsia" w:ascii="仿宋_GB2312" w:hAnsi="仿宋_GB2312" w:eastAsia="仿宋_GB2312" w:cs="仿宋_GB2312"/>
          <w:b w:val="0"/>
          <w:bCs w:val="0"/>
          <w:color w:val="auto"/>
          <w:sz w:val="32"/>
          <w:szCs w:val="32"/>
        </w:rPr>
        <w:t>发展改革部门、住建部门、市场监管部门负责，依据物业服务等级标准，综合考虑小区容量、场地设施、企业成本、业主承受能力等因素制定，</w:t>
      </w:r>
      <w:r>
        <w:rPr>
          <w:rFonts w:hint="eastAsia" w:ascii="仿宋_GB2312" w:hAnsi="Calibri" w:eastAsia="仿宋_GB2312"/>
          <w:b w:val="0"/>
          <w:bCs w:val="0"/>
          <w:color w:val="auto"/>
          <w:sz w:val="32"/>
          <w:szCs w:val="32"/>
        </w:rPr>
        <w:t>定期调整并保持相对稳定。</w:t>
      </w:r>
    </w:p>
    <w:p w14:paraId="035925D9">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rPr>
        <w:t>市发展改革委</w:t>
      </w:r>
      <w:r>
        <w:rPr>
          <w:rFonts w:hint="eastAsia" w:ascii="仿宋_GB2312" w:hAnsi="仿宋_GB2312" w:eastAsia="仿宋_GB2312" w:cs="仿宋_GB2312"/>
          <w:color w:val="auto"/>
          <w:sz w:val="32"/>
          <w:szCs w:val="32"/>
          <w:lang w:eastAsia="zh-CN"/>
        </w:rPr>
        <w:t>会</w:t>
      </w:r>
      <w:r>
        <w:rPr>
          <w:rFonts w:hint="eastAsia" w:ascii="仿宋_GB2312" w:hAnsi="仿宋_GB2312" w:eastAsia="仿宋_GB2312" w:cs="仿宋_GB2312"/>
          <w:color w:val="auto"/>
          <w:sz w:val="32"/>
          <w:szCs w:val="32"/>
        </w:rPr>
        <w:t>同市住建局、市市场监</w:t>
      </w:r>
      <w:r>
        <w:rPr>
          <w:rFonts w:hint="eastAsia" w:ascii="仿宋_GB2312" w:hAnsi="仿宋_GB2312" w:eastAsia="仿宋_GB2312" w:cs="仿宋_GB2312"/>
          <w:color w:val="auto"/>
          <w:sz w:val="32"/>
          <w:szCs w:val="32"/>
          <w:lang w:eastAsia="zh-CN"/>
        </w:rPr>
        <w:t>管</w:t>
      </w:r>
      <w:r>
        <w:rPr>
          <w:rFonts w:hint="eastAsia" w:ascii="仿宋_GB2312" w:hAnsi="仿宋_GB2312" w:eastAsia="仿宋_GB2312" w:cs="仿宋_GB2312"/>
          <w:color w:val="auto"/>
          <w:sz w:val="32"/>
          <w:szCs w:val="32"/>
        </w:rPr>
        <w:t>局</w:t>
      </w:r>
      <w:r>
        <w:rPr>
          <w:rFonts w:hint="eastAsia" w:ascii="仿宋_GB2312" w:hAnsi="仿宋_GB2312" w:eastAsia="仿宋_GB2312" w:cs="仿宋_GB2312"/>
          <w:bCs/>
          <w:color w:val="auto"/>
          <w:sz w:val="32"/>
          <w:szCs w:val="32"/>
        </w:rPr>
        <w:t>负责制定和调整新区、耀州区、王益区、印台区行政区域内实行政府指导价的物业服务</w:t>
      </w:r>
      <w:r>
        <w:rPr>
          <w:rFonts w:hint="eastAsia" w:ascii="仿宋_GB2312" w:hAnsi="仿宋_GB2312" w:eastAsia="仿宋_GB2312" w:cs="仿宋_GB2312"/>
          <w:bCs/>
          <w:color w:val="auto"/>
          <w:sz w:val="32"/>
          <w:szCs w:val="32"/>
          <w:lang w:eastAsia="zh-CN"/>
        </w:rPr>
        <w:t>收</w:t>
      </w:r>
      <w:r>
        <w:rPr>
          <w:rFonts w:hint="eastAsia" w:ascii="仿宋_GB2312" w:hAnsi="仿宋_GB2312" w:eastAsia="仿宋_GB2312" w:cs="仿宋_GB2312"/>
          <w:bCs/>
          <w:color w:val="auto"/>
          <w:sz w:val="32"/>
          <w:szCs w:val="32"/>
        </w:rPr>
        <w:t>费标准，报市人民政府批准后执行。宜君县行政区域内实行政府指导价的物业服务收费标准由宜君县发展和改革局会同县城乡建设</w:t>
      </w:r>
      <w:r>
        <w:rPr>
          <w:rFonts w:hint="eastAsia" w:ascii="仿宋_GB2312" w:hAnsi="仿宋_GB2312" w:eastAsia="仿宋_GB2312" w:cs="仿宋_GB2312"/>
          <w:bCs/>
          <w:color w:val="auto"/>
          <w:sz w:val="32"/>
          <w:szCs w:val="32"/>
          <w:lang w:eastAsia="zh-CN"/>
        </w:rPr>
        <w:t>和交通运输</w:t>
      </w:r>
      <w:r>
        <w:rPr>
          <w:rFonts w:hint="eastAsia" w:ascii="仿宋_GB2312" w:hAnsi="仿宋_GB2312" w:eastAsia="仿宋_GB2312" w:cs="仿宋_GB2312"/>
          <w:bCs/>
          <w:color w:val="auto"/>
          <w:sz w:val="32"/>
          <w:szCs w:val="32"/>
        </w:rPr>
        <w:t>局、县市场监督管理局制定，报县人民政府批准后执行。</w:t>
      </w:r>
    </w:p>
    <w:p w14:paraId="428A5D45">
      <w:pPr>
        <w:keepNext w:val="0"/>
        <w:keepLines w:val="0"/>
        <w:pageBreakBefore w:val="0"/>
        <w:widowControl/>
        <w:kinsoku/>
        <w:wordWrap/>
        <w:overflowPunct/>
        <w:topLinePunct w:val="0"/>
        <w:autoSpaceDE/>
        <w:autoSpaceDN/>
        <w:bidi w:val="0"/>
        <w:adjustRightInd/>
        <w:snapToGrid/>
        <w:spacing w:line="540" w:lineRule="exact"/>
        <w:ind w:firstLine="640" w:firstLineChars="200"/>
        <w:jc w:val="both"/>
        <w:textAlignment w:val="auto"/>
        <w:rPr>
          <w:rFonts w:ascii="仿宋_GB2312" w:hAnsi="仿宋_GB2312" w:eastAsia="仿宋_GB2312" w:cs="仿宋_GB2312"/>
          <w:bCs/>
          <w:color w:val="auto"/>
          <w:sz w:val="32"/>
          <w:szCs w:val="32"/>
        </w:rPr>
      </w:pPr>
      <w:r>
        <w:rPr>
          <w:rFonts w:hint="eastAsia" w:ascii="黑体" w:hAnsi="黑体" w:eastAsia="黑体" w:cs="仿宋_GB2312"/>
          <w:bCs/>
          <w:color w:val="auto"/>
          <w:sz w:val="32"/>
          <w:szCs w:val="32"/>
        </w:rPr>
        <w:t>第七条</w:t>
      </w:r>
      <w:r>
        <w:rPr>
          <w:rFonts w:hint="eastAsia" w:ascii="仿宋_GB2312" w:hAnsi="仿宋_GB2312" w:eastAsia="仿宋_GB2312" w:cs="仿宋_GB2312"/>
          <w:bCs/>
          <w:color w:val="auto"/>
          <w:sz w:val="32"/>
          <w:szCs w:val="32"/>
        </w:rPr>
        <w:t xml:space="preserve">  实行政府指导价</w:t>
      </w:r>
      <w:r>
        <w:rPr>
          <w:rFonts w:hint="eastAsia" w:ascii="仿宋_GB2312" w:hAnsi="仿宋_GB2312" w:eastAsia="仿宋_GB2312" w:cs="仿宋_GB2312"/>
          <w:bCs/>
          <w:color w:val="auto"/>
          <w:sz w:val="32"/>
          <w:szCs w:val="32"/>
          <w:lang w:eastAsia="zh-CN"/>
        </w:rPr>
        <w:t>管理</w:t>
      </w:r>
      <w:r>
        <w:rPr>
          <w:rFonts w:hint="eastAsia" w:ascii="仿宋_GB2312" w:hAnsi="仿宋_GB2312" w:eastAsia="仿宋_GB2312" w:cs="仿宋_GB2312"/>
          <w:bCs/>
          <w:color w:val="auto"/>
          <w:sz w:val="32"/>
          <w:szCs w:val="32"/>
        </w:rPr>
        <w:t>的住宅小区物业服务等级按照住房和城乡建设部门制定的物业服务指导标准，由高到低设定为一级、二级、三级、等外四个服务等级，按照高层、多层分别制定收费标准；实行政府指导价的物业</w:t>
      </w:r>
      <w:r>
        <w:rPr>
          <w:rFonts w:hint="eastAsia" w:ascii="仿宋_GB2312" w:hAnsi="仿宋_GB2312" w:eastAsia="仿宋_GB2312" w:cs="仿宋_GB2312"/>
          <w:bCs/>
          <w:color w:val="auto"/>
          <w:sz w:val="32"/>
          <w:szCs w:val="32"/>
          <w:lang w:eastAsia="zh-CN"/>
        </w:rPr>
        <w:t>管理</w:t>
      </w:r>
      <w:r>
        <w:rPr>
          <w:rFonts w:hint="eastAsia" w:ascii="仿宋_GB2312" w:hAnsi="仿宋_GB2312" w:eastAsia="仿宋_GB2312" w:cs="仿宋_GB2312"/>
          <w:bCs/>
          <w:color w:val="auto"/>
          <w:sz w:val="32"/>
          <w:szCs w:val="32"/>
        </w:rPr>
        <w:t>区域内</w:t>
      </w:r>
      <w:r>
        <w:rPr>
          <w:rFonts w:hint="eastAsia" w:ascii="仿宋_GB2312" w:hAnsi="仿宋_GB2312" w:eastAsia="仿宋_GB2312" w:cs="仿宋_GB2312"/>
          <w:bCs/>
          <w:color w:val="auto"/>
          <w:sz w:val="32"/>
          <w:szCs w:val="32"/>
          <w:lang w:eastAsia="zh-CN"/>
        </w:rPr>
        <w:t>室内</w:t>
      </w:r>
      <w:r>
        <w:rPr>
          <w:rFonts w:hint="eastAsia" w:ascii="仿宋_GB2312" w:hAnsi="仿宋_GB2312" w:eastAsia="仿宋_GB2312" w:cs="仿宋_GB2312"/>
          <w:bCs/>
          <w:color w:val="auto"/>
          <w:sz w:val="32"/>
          <w:szCs w:val="32"/>
        </w:rPr>
        <w:t>机动车停放场所类别按照设施条件和服务条件由高到低设定为一类、二类</w:t>
      </w:r>
      <w:r>
        <w:rPr>
          <w:rFonts w:hint="eastAsia" w:ascii="仿宋_GB2312" w:hAnsi="仿宋_GB2312" w:eastAsia="仿宋_GB2312" w:cs="仿宋_GB2312"/>
          <w:bCs/>
          <w:color w:val="auto"/>
          <w:sz w:val="32"/>
          <w:szCs w:val="32"/>
          <w:lang w:eastAsia="zh-CN"/>
        </w:rPr>
        <w:t>两个类别</w:t>
      </w:r>
      <w:r>
        <w:rPr>
          <w:rFonts w:hint="eastAsia" w:ascii="仿宋_GB2312" w:hAnsi="仿宋_GB2312" w:eastAsia="仿宋_GB2312" w:cs="仿宋_GB2312"/>
          <w:bCs/>
          <w:color w:val="auto"/>
          <w:sz w:val="32"/>
          <w:szCs w:val="32"/>
        </w:rPr>
        <w:t>，露天机动车停放场所不分类别。</w:t>
      </w:r>
    </w:p>
    <w:p w14:paraId="12ADA6E8">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bCs/>
          <w:color w:val="auto"/>
          <w:sz w:val="32"/>
          <w:szCs w:val="32"/>
        </w:rPr>
      </w:pPr>
      <w:r>
        <w:rPr>
          <w:rFonts w:hint="eastAsia" w:ascii="仿宋_GB2312" w:hAnsi="仿宋_GB2312" w:eastAsia="仿宋_GB2312" w:cs="仿宋_GB2312"/>
          <w:bCs/>
          <w:color w:val="auto"/>
          <w:kern w:val="0"/>
          <w:sz w:val="32"/>
          <w:szCs w:val="32"/>
        </w:rPr>
        <w:t>实行政府指导价管理</w:t>
      </w:r>
      <w:r>
        <w:rPr>
          <w:rFonts w:hint="eastAsia" w:ascii="仿宋_GB2312" w:hAnsi="仿宋_GB2312" w:eastAsia="仿宋_GB2312" w:cs="仿宋_GB2312"/>
          <w:bCs/>
          <w:color w:val="auto"/>
          <w:sz w:val="32"/>
          <w:szCs w:val="32"/>
        </w:rPr>
        <w:t>的物业服务收费标准为最高限价</w:t>
      </w:r>
      <w:r>
        <w:rPr>
          <w:rFonts w:hint="eastAsia" w:ascii="仿宋_GB2312" w:hAnsi="仿宋_GB2312" w:eastAsia="仿宋_GB2312" w:cs="仿宋_GB2312"/>
          <w:bCs/>
          <w:color w:val="auto"/>
          <w:sz w:val="32"/>
          <w:szCs w:val="32"/>
          <w:lang w:eastAsia="zh-CN"/>
        </w:rPr>
        <w:t>，物业</w:t>
      </w:r>
      <w:r>
        <w:rPr>
          <w:rFonts w:hint="eastAsia" w:ascii="仿宋_GB2312" w:hAnsi="仿宋_GB2312" w:eastAsia="仿宋_GB2312" w:cs="仿宋_GB2312"/>
          <w:bCs/>
          <w:color w:val="auto"/>
          <w:sz w:val="32"/>
          <w:szCs w:val="32"/>
        </w:rPr>
        <w:t>服务</w:t>
      </w:r>
      <w:r>
        <w:rPr>
          <w:rFonts w:hint="eastAsia" w:ascii="仿宋_GB2312" w:hAnsi="仿宋_GB2312" w:eastAsia="仿宋_GB2312" w:cs="仿宋_GB2312"/>
          <w:bCs/>
          <w:color w:val="auto"/>
          <w:sz w:val="32"/>
          <w:szCs w:val="32"/>
          <w:lang w:eastAsia="zh-CN"/>
        </w:rPr>
        <w:t>人</w:t>
      </w:r>
      <w:r>
        <w:rPr>
          <w:rFonts w:hint="eastAsia" w:ascii="仿宋_GB2312" w:hAnsi="仿宋_GB2312" w:eastAsia="仿宋_GB2312" w:cs="仿宋_GB2312"/>
          <w:bCs/>
          <w:color w:val="auto"/>
          <w:sz w:val="32"/>
          <w:szCs w:val="32"/>
        </w:rPr>
        <w:t>与业主在政府指导价的范围内通过合同约定物业服务费和停车服务费的具体标准。</w:t>
      </w:r>
    </w:p>
    <w:p w14:paraId="5F3A9A29">
      <w:pPr>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rPr>
      </w:pPr>
      <w:r>
        <w:rPr>
          <w:rFonts w:hint="eastAsia" w:ascii="黑体" w:hAnsi="黑体" w:eastAsia="黑体" w:cs="仿宋_GB2312"/>
          <w:bCs/>
          <w:color w:val="auto"/>
          <w:sz w:val="32"/>
          <w:szCs w:val="32"/>
          <w:lang w:eastAsia="zh-CN"/>
        </w:rPr>
        <w:t>第八条</w:t>
      </w:r>
      <w:r>
        <w:rPr>
          <w:rFonts w:hint="eastAsia" w:ascii="仿宋_GB2312" w:hAnsi="仿宋_GB2312" w:eastAsia="仿宋_GB2312" w:cs="仿宋_GB2312"/>
          <w:color w:val="auto"/>
          <w:sz w:val="32"/>
          <w:szCs w:val="32"/>
        </w:rPr>
        <w:t xml:space="preserve"> 实行市场调节价的物业服务收费标准，由</w:t>
      </w:r>
      <w:r>
        <w:rPr>
          <w:rFonts w:hint="eastAsia" w:ascii="仿宋_GB2312" w:hAnsi="仿宋_GB2312" w:eastAsia="仿宋_GB2312" w:cs="仿宋_GB2312"/>
          <w:color w:val="auto"/>
          <w:sz w:val="32"/>
          <w:szCs w:val="32"/>
          <w:lang w:eastAsia="zh-CN"/>
        </w:rPr>
        <w:t>物业服务人</w:t>
      </w:r>
      <w:r>
        <w:rPr>
          <w:rFonts w:hint="eastAsia" w:ascii="仿宋_GB2312" w:hAnsi="仿宋_GB2312" w:eastAsia="仿宋_GB2312" w:cs="仿宋_GB2312"/>
          <w:color w:val="auto"/>
          <w:sz w:val="32"/>
          <w:szCs w:val="32"/>
        </w:rPr>
        <w:t>与业主或者业主大会通过合同约定。</w:t>
      </w:r>
    </w:p>
    <w:p w14:paraId="676BA277">
      <w:pPr>
        <w:keepNext w:val="0"/>
        <w:keepLines w:val="0"/>
        <w:pageBreakBefore w:val="0"/>
        <w:numPr>
          <w:ilvl w:val="0"/>
          <w:numId w:val="0"/>
        </w:numPr>
        <w:kinsoku/>
        <w:wordWrap/>
        <w:overflowPunct/>
        <w:topLinePunct w:val="0"/>
        <w:autoSpaceDE/>
        <w:autoSpaceDN/>
        <w:bidi w:val="0"/>
        <w:adjustRightInd/>
        <w:snapToGrid/>
        <w:spacing w:line="540" w:lineRule="exact"/>
        <w:textAlignment w:val="auto"/>
        <w:rPr>
          <w:rFonts w:hint="eastAsia" w:ascii="仿宋_GB2312" w:hAnsi="仿宋_GB2312" w:eastAsia="仿宋_GB2312" w:cs="仿宋_GB2312"/>
          <w:color w:val="auto"/>
          <w:sz w:val="32"/>
          <w:szCs w:val="32"/>
        </w:rPr>
      </w:pPr>
    </w:p>
    <w:p w14:paraId="0B7D8101">
      <w:pPr>
        <w:keepNext w:val="0"/>
        <w:keepLines w:val="0"/>
        <w:pageBreakBefore w:val="0"/>
        <w:kinsoku/>
        <w:wordWrap/>
        <w:overflowPunct/>
        <w:topLinePunct w:val="0"/>
        <w:autoSpaceDE/>
        <w:autoSpaceDN/>
        <w:bidi w:val="0"/>
        <w:adjustRightInd/>
        <w:snapToGrid/>
        <w:spacing w:line="540" w:lineRule="exact"/>
        <w:jc w:val="center"/>
        <w:textAlignment w:val="auto"/>
        <w:outlineLvl w:val="0"/>
        <w:rPr>
          <w:rFonts w:hint="eastAsia" w:ascii="黑体" w:hAnsi="黑体" w:eastAsia="黑体" w:cs="仿宋_GB2312"/>
          <w:bCs/>
          <w:color w:val="auto"/>
          <w:sz w:val="32"/>
          <w:szCs w:val="32"/>
        </w:rPr>
      </w:pPr>
      <w:r>
        <w:rPr>
          <w:rFonts w:hint="eastAsia" w:ascii="黑体" w:hAnsi="黑体" w:eastAsia="黑体" w:cs="仿宋_GB2312"/>
          <w:bCs/>
          <w:color w:val="auto"/>
          <w:sz w:val="32"/>
          <w:szCs w:val="32"/>
        </w:rPr>
        <w:t>第二章  物业服务收费标准的制定</w:t>
      </w:r>
    </w:p>
    <w:p w14:paraId="5E423019">
      <w:pPr>
        <w:keepNext w:val="0"/>
        <w:keepLines w:val="0"/>
        <w:pageBreakBefore w:val="0"/>
        <w:kinsoku/>
        <w:wordWrap/>
        <w:overflowPunct/>
        <w:topLinePunct w:val="0"/>
        <w:autoSpaceDE/>
        <w:autoSpaceDN/>
        <w:bidi w:val="0"/>
        <w:adjustRightInd/>
        <w:snapToGrid/>
        <w:spacing w:line="540" w:lineRule="exact"/>
        <w:jc w:val="center"/>
        <w:textAlignment w:val="auto"/>
        <w:outlineLvl w:val="0"/>
        <w:rPr>
          <w:rFonts w:hint="eastAsia" w:ascii="黑体" w:hAnsi="黑体" w:eastAsia="黑体" w:cs="仿宋_GB2312"/>
          <w:bCs/>
          <w:color w:val="auto"/>
          <w:sz w:val="32"/>
          <w:szCs w:val="32"/>
        </w:rPr>
      </w:pPr>
    </w:p>
    <w:p w14:paraId="668699E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b/>
          <w:bCs/>
          <w:color w:val="auto"/>
          <w:sz w:val="32"/>
          <w:szCs w:val="32"/>
        </w:rPr>
      </w:pPr>
      <w:r>
        <w:rPr>
          <w:rFonts w:hint="eastAsia" w:ascii="黑体" w:hAnsi="黑体" w:eastAsia="黑体" w:cs="仿宋_GB2312"/>
          <w:bCs/>
          <w:color w:val="auto"/>
          <w:sz w:val="32"/>
          <w:szCs w:val="32"/>
        </w:rPr>
        <w:t>第九条</w:t>
      </w:r>
      <w:r>
        <w:rPr>
          <w:rFonts w:hint="eastAsia" w:ascii="仿宋_GB2312" w:hAnsi="仿宋_GB2312" w:eastAsia="仿宋_GB2312" w:cs="仿宋_GB2312"/>
          <w:color w:val="auto"/>
          <w:sz w:val="32"/>
          <w:szCs w:val="32"/>
        </w:rPr>
        <w:t xml:space="preserve">  业主或者业主大会与物业服务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可以采取包干制或酬金制计费方式约定物业服务费，</w:t>
      </w:r>
      <w:r>
        <w:rPr>
          <w:rFonts w:hint="eastAsia" w:ascii="仿宋_GB2312" w:hAnsi="仿宋_GB2312" w:eastAsia="仿宋_GB2312" w:cs="仿宋_GB2312"/>
          <w:bCs/>
          <w:color w:val="auto"/>
          <w:sz w:val="32"/>
          <w:szCs w:val="32"/>
        </w:rPr>
        <w:t>实行政府指导价的物业服务收费仅适用于包干制。</w:t>
      </w:r>
    </w:p>
    <w:p w14:paraId="65743697">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包干制是指由业主向物业服务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支付固定物业服务费，物业服务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依照合同约定事项提供服务，盈亏均由物业服务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享有或者承担。包干制物业服务费由物业服务成本、法定税费和企业利润构成。</w:t>
      </w:r>
    </w:p>
    <w:p w14:paraId="7FC139EB">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    酬金制是指在预收的物业服务资金中按约定比例或者约定数额提取酬金支付给物业服务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，其余全部用于物业服务合同约定的支出，结余或者不足均由业主享有或者承担。酬金制物业服务费由物业服务支出和企业酬金构成。</w:t>
      </w:r>
    </w:p>
    <w:p w14:paraId="0AF0607E">
      <w:pPr>
        <w:keepNext w:val="0"/>
        <w:keepLines w:val="0"/>
        <w:pageBreakBefore w:val="0"/>
        <w:kinsoku/>
        <w:wordWrap/>
        <w:overflowPunct/>
        <w:topLinePunct w:val="0"/>
        <w:autoSpaceDE/>
        <w:autoSpaceDN/>
        <w:bidi w:val="0"/>
        <w:adjustRightInd/>
        <w:snapToGrid/>
        <w:spacing w:line="540" w:lineRule="exact"/>
        <w:ind w:firstLine="645"/>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第十条</w:t>
      </w:r>
      <w:r>
        <w:rPr>
          <w:rFonts w:hint="eastAsia" w:ascii="仿宋_GB2312" w:hAnsi="仿宋_GB2312" w:eastAsia="仿宋_GB2312" w:cs="仿宋_GB2312"/>
          <w:color w:val="auto"/>
          <w:sz w:val="32"/>
          <w:szCs w:val="32"/>
        </w:rPr>
        <w:t xml:space="preserve">  物业服务成本或物业服务支出构成一般包括以下部分：</w:t>
      </w:r>
    </w:p>
    <w:p w14:paraId="5F003E9F">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pacing w:val="-11"/>
          <w:sz w:val="32"/>
          <w:szCs w:val="32"/>
        </w:rPr>
      </w:pPr>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pacing w:val="-11"/>
          <w:sz w:val="32"/>
          <w:szCs w:val="32"/>
        </w:rPr>
        <w:t>管理服务人员的工资、社会保险和按规定提取的福利费等；</w:t>
      </w:r>
    </w:p>
    <w:p w14:paraId="4FD08669">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2.物业共用部位、共用设施设备的日常运行、维护费用；</w:t>
      </w:r>
    </w:p>
    <w:p w14:paraId="40F68017">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pacing w:val="-17"/>
          <w:sz w:val="32"/>
          <w:szCs w:val="32"/>
        </w:rPr>
      </w:pPr>
      <w:r>
        <w:rPr>
          <w:rFonts w:hint="eastAsia" w:ascii="仿宋_GB2312" w:hAnsi="仿宋_GB2312" w:eastAsia="仿宋_GB2312" w:cs="仿宋_GB2312"/>
          <w:color w:val="auto"/>
          <w:sz w:val="32"/>
          <w:szCs w:val="32"/>
        </w:rPr>
        <w:t>3.</w:t>
      </w:r>
      <w:r>
        <w:rPr>
          <w:rFonts w:hint="eastAsia" w:ascii="仿宋_GB2312" w:hAnsi="仿宋_GB2312" w:eastAsia="仿宋_GB2312" w:cs="仿宋_GB2312"/>
          <w:color w:val="auto"/>
          <w:spacing w:val="-17"/>
          <w:sz w:val="32"/>
          <w:szCs w:val="32"/>
        </w:rPr>
        <w:t>物业管理区域内清洁卫生费用(不含城</w:t>
      </w:r>
      <w:r>
        <w:rPr>
          <w:rFonts w:hint="eastAsia" w:ascii="仿宋_GB2312" w:hAnsi="仿宋_GB2312" w:eastAsia="仿宋_GB2312" w:cs="仿宋_GB2312"/>
          <w:color w:val="auto"/>
          <w:spacing w:val="-17"/>
          <w:sz w:val="32"/>
          <w:szCs w:val="32"/>
          <w:lang w:eastAsia="zh-CN"/>
        </w:rPr>
        <w:t>市</w:t>
      </w:r>
      <w:r>
        <w:rPr>
          <w:rFonts w:hint="eastAsia" w:ascii="仿宋_GB2312" w:hAnsi="仿宋_GB2312" w:eastAsia="仿宋_GB2312" w:cs="仿宋_GB2312"/>
          <w:color w:val="auto"/>
          <w:spacing w:val="-17"/>
          <w:sz w:val="32"/>
          <w:szCs w:val="32"/>
        </w:rPr>
        <w:t>居民生活垃圾处理费)；</w:t>
      </w:r>
    </w:p>
    <w:p w14:paraId="4E8CDB35">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4.物业管理区域内绿化养护费用；</w:t>
      </w:r>
    </w:p>
    <w:p w14:paraId="79244B04">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5.物业管理区域内秩序维护费用；</w:t>
      </w:r>
    </w:p>
    <w:p w14:paraId="31BA08E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6.物业服务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办公费用；</w:t>
      </w:r>
    </w:p>
    <w:p w14:paraId="0FD67F0B">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7.物业服务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固定资产折旧；</w:t>
      </w:r>
    </w:p>
    <w:p w14:paraId="23A325FC">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8.物业共用部位、共用设施设备以及公众责任保险费用；</w:t>
      </w:r>
    </w:p>
    <w:p w14:paraId="6CCD9B3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9.经业主或者业主大会同意的其它费用。</w:t>
      </w:r>
    </w:p>
    <w:p w14:paraId="3DCD12D7">
      <w:pPr>
        <w:keepNext w:val="0"/>
        <w:keepLines w:val="0"/>
        <w:pageBreakBefore w:val="0"/>
        <w:kinsoku/>
        <w:wordWrap/>
        <w:overflowPunct/>
        <w:topLinePunct w:val="0"/>
        <w:autoSpaceDE/>
        <w:autoSpaceDN/>
        <w:bidi w:val="0"/>
        <w:adjustRightInd/>
        <w:snapToGrid/>
        <w:spacing w:line="540" w:lineRule="exact"/>
        <w:ind w:firstLine="645"/>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物业共用部位、共用设施设备保修期满后的维修和更新、改造费用，应当通过专项维修资金予以列支，不得计入物业服务成本或者物业服务支出。在国家规定的质量保修范围和保修期限内的维修和设备更换，由原建设单位负责，不得动用专项维修资金或者由业主承担。</w:t>
      </w:r>
    </w:p>
    <w:p w14:paraId="3B01EA22">
      <w:pPr>
        <w:keepNext w:val="0"/>
        <w:keepLines w:val="0"/>
        <w:pageBreakBefore w:val="0"/>
        <w:kinsoku/>
        <w:wordWrap/>
        <w:overflowPunct/>
        <w:topLinePunct w:val="0"/>
        <w:autoSpaceDE/>
        <w:autoSpaceDN/>
        <w:bidi w:val="0"/>
        <w:adjustRightInd/>
        <w:snapToGrid/>
        <w:spacing w:line="540" w:lineRule="exact"/>
        <w:ind w:firstLine="645"/>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第十一条</w:t>
      </w:r>
      <w:r>
        <w:rPr>
          <w:rFonts w:hint="eastAsia" w:ascii="仿宋_GB2312" w:hAnsi="仿宋_GB2312" w:eastAsia="仿宋_GB2312" w:cs="仿宋_GB2312"/>
          <w:color w:val="auto"/>
          <w:sz w:val="32"/>
          <w:szCs w:val="32"/>
        </w:rPr>
        <w:t xml:space="preserve">  实行政府指导价的物业服务费执行“一费制”。物业管理区域内照明、景观、消防、安防、电梯、门禁、监控等归属业主共有公共配套设施设备的用水、用电费用以及电梯维护保养和年检费用计入物业服务费成本，不得单独收取。</w:t>
      </w:r>
    </w:p>
    <w:p w14:paraId="4BA3F019">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仿宋_GB2312"/>
          <w:bCs/>
          <w:color w:val="auto"/>
          <w:sz w:val="32"/>
          <w:szCs w:val="32"/>
        </w:rPr>
        <w:t>第十二条</w:t>
      </w:r>
      <w:r>
        <w:rPr>
          <w:rFonts w:hint="eastAsia" w:ascii="仿宋_GB2312" w:hAnsi="仿宋_GB2312" w:eastAsia="仿宋_GB2312" w:cs="仿宋_GB2312"/>
          <w:color w:val="auto"/>
          <w:sz w:val="32"/>
          <w:szCs w:val="32"/>
        </w:rPr>
        <w:t xml:space="preserve">  停车服务费成本由交通工具停放服务设施设备日常运行费、保养维护费、检验检测费、设备折旧、职工薪酬、清洁卫生费、秩序维护费、管理费分摊以及经业主或者业主大会同意的其它费用组成。与物业服务费成本相重叠的部分应当独立核算，按比例分担，不得重复计算</w:t>
      </w:r>
      <w:r>
        <w:rPr>
          <w:rFonts w:hint="eastAsia" w:ascii="仿宋_GB2312" w:hAnsi="仿宋_GB2312" w:eastAsia="仿宋_GB2312" w:cs="仿宋_GB2312"/>
          <w:color w:val="auto"/>
          <w:sz w:val="32"/>
          <w:szCs w:val="32"/>
          <w:lang w:eastAsia="zh-CN"/>
        </w:rPr>
        <w:t>。</w:t>
      </w:r>
    </w:p>
    <w:p w14:paraId="7A1513F5">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第十三条</w:t>
      </w:r>
      <w:r>
        <w:rPr>
          <w:rFonts w:hint="eastAsia" w:ascii="仿宋_GB2312" w:hAnsi="仿宋_GB2312" w:eastAsia="仿宋_GB2312" w:cs="仿宋_GB2312"/>
          <w:color w:val="auto"/>
          <w:sz w:val="32"/>
          <w:szCs w:val="32"/>
        </w:rPr>
        <w:t xml:space="preserve">  供水、供电、供气、供暖、通信、有线电视、宽带数据传输等专业经营单位，实行抄表到户的，应当向最终用户收取有关费用，并依法承担分户终端计量装置以外管线和设施设备的维修、养护、更新等责任，且相关费用不得计入物业服务费成本。</w:t>
      </w:r>
    </w:p>
    <w:p w14:paraId="0309DE1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lang w:val="en-US" w:eastAsia="zh-CN"/>
        </w:rPr>
        <w:t>供电、供水未实行抄表到户的住宅小区，总表与分表之间的正常损耗，计入物业服务费成本，并由物业服务人承担</w:t>
      </w:r>
      <w:r>
        <w:rPr>
          <w:rFonts w:hint="eastAsia" w:ascii="仿宋_GB2312" w:hAnsi="仿宋_GB2312" w:eastAsia="仿宋_GB2312" w:cs="仿宋_GB2312"/>
          <w:b w:val="0"/>
          <w:bCs w:val="0"/>
          <w:color w:val="auto"/>
          <w:sz w:val="32"/>
          <w:szCs w:val="32"/>
        </w:rPr>
        <w:t>物业</w:t>
      </w:r>
      <w:r>
        <w:rPr>
          <w:rFonts w:hint="eastAsia" w:ascii="仿宋_GB2312" w:hAnsi="仿宋_GB2312" w:eastAsia="仿宋_GB2312" w:cs="仿宋_GB2312"/>
          <w:b w:val="0"/>
          <w:bCs w:val="0"/>
          <w:color w:val="auto"/>
          <w:sz w:val="32"/>
          <w:szCs w:val="32"/>
          <w:lang w:eastAsia="zh-CN"/>
        </w:rPr>
        <w:t>服务</w:t>
      </w:r>
      <w:r>
        <w:rPr>
          <w:rFonts w:hint="eastAsia" w:ascii="仿宋_GB2312" w:hAnsi="仿宋_GB2312" w:eastAsia="仿宋_GB2312" w:cs="仿宋_GB2312"/>
          <w:b w:val="0"/>
          <w:bCs w:val="0"/>
          <w:color w:val="auto"/>
          <w:sz w:val="32"/>
          <w:szCs w:val="32"/>
        </w:rPr>
        <w:t>区域内</w:t>
      </w:r>
      <w:r>
        <w:rPr>
          <w:rFonts w:hint="eastAsia" w:ascii="仿宋_GB2312" w:hAnsi="仿宋_GB2312" w:eastAsia="仿宋_GB2312" w:cs="仿宋_GB2312"/>
          <w:b w:val="0"/>
          <w:bCs w:val="0"/>
          <w:color w:val="auto"/>
          <w:sz w:val="32"/>
          <w:szCs w:val="32"/>
          <w:lang w:eastAsia="zh-CN"/>
        </w:rPr>
        <w:t>日常</w:t>
      </w:r>
      <w:r>
        <w:rPr>
          <w:rFonts w:hint="eastAsia" w:ascii="仿宋_GB2312" w:hAnsi="仿宋_GB2312" w:eastAsia="仿宋_GB2312" w:cs="仿宋_GB2312"/>
          <w:b w:val="0"/>
          <w:bCs w:val="0"/>
          <w:color w:val="auto"/>
          <w:sz w:val="32"/>
          <w:szCs w:val="32"/>
        </w:rPr>
        <w:t>公共管线和设施设备的维修、养护</w:t>
      </w:r>
      <w:r>
        <w:rPr>
          <w:rFonts w:hint="eastAsia" w:ascii="仿宋_GB2312" w:hAnsi="仿宋_GB2312" w:eastAsia="仿宋_GB2312" w:cs="仿宋_GB2312"/>
          <w:b w:val="0"/>
          <w:bCs w:val="0"/>
          <w:color w:val="auto"/>
          <w:sz w:val="32"/>
          <w:szCs w:val="32"/>
          <w:lang w:eastAsia="zh-CN"/>
        </w:rPr>
        <w:t>、更新</w:t>
      </w:r>
      <w:r>
        <w:rPr>
          <w:rFonts w:hint="eastAsia" w:ascii="仿宋_GB2312" w:hAnsi="仿宋_GB2312" w:eastAsia="仿宋_GB2312" w:cs="仿宋_GB2312"/>
          <w:b w:val="0"/>
          <w:bCs w:val="0"/>
          <w:color w:val="auto"/>
          <w:sz w:val="32"/>
          <w:szCs w:val="32"/>
        </w:rPr>
        <w:t>等责任</w:t>
      </w:r>
      <w:r>
        <w:rPr>
          <w:rFonts w:hint="eastAsia" w:ascii="仿宋_GB2312" w:hAnsi="仿宋_GB2312" w:eastAsia="仿宋_GB2312" w:cs="仿宋_GB2312"/>
          <w:b w:val="0"/>
          <w:bCs w:val="0"/>
          <w:color w:val="auto"/>
          <w:sz w:val="32"/>
          <w:szCs w:val="32"/>
          <w:lang w:eastAsia="zh-CN"/>
        </w:rPr>
        <w:t>，不得在物业服务费之外再单独收取相关费用。</w:t>
      </w:r>
    </w:p>
    <w:p w14:paraId="0A0EBB05">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第十四条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u w:val="none"/>
        </w:rPr>
        <w:t xml:space="preserve"> </w:t>
      </w:r>
      <w:r>
        <w:rPr>
          <w:rFonts w:hint="eastAsia" w:ascii="仿宋_GB2312" w:hAnsi="仿宋_GB2312" w:eastAsia="仿宋_GB2312" w:cs="仿宋_GB2312"/>
          <w:color w:val="auto"/>
          <w:sz w:val="32"/>
          <w:szCs w:val="32"/>
          <w:u w:val="none"/>
          <w:lang w:eastAsia="zh-CN"/>
        </w:rPr>
        <w:t>实行政府指导价的</w:t>
      </w:r>
      <w:r>
        <w:rPr>
          <w:rFonts w:hint="eastAsia" w:ascii="仿宋_GB2312" w:hAnsi="仿宋_GB2312" w:eastAsia="仿宋_GB2312" w:cs="仿宋_GB2312"/>
          <w:color w:val="auto"/>
          <w:sz w:val="32"/>
          <w:szCs w:val="32"/>
        </w:rPr>
        <w:t>住宅预售前，建设单位应当按照相关规定选聘物业服务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，依据物业服务指导标准和物业服务收费标准，</w:t>
      </w:r>
      <w:bookmarkStart w:id="0" w:name="_GoBack"/>
      <w:bookmarkEnd w:id="0"/>
      <w:r>
        <w:rPr>
          <w:rFonts w:hint="eastAsia" w:ascii="仿宋_GB2312" w:hAnsi="仿宋_GB2312" w:eastAsia="仿宋_GB2312" w:cs="仿宋_GB2312"/>
          <w:color w:val="auto"/>
          <w:sz w:val="32"/>
          <w:szCs w:val="32"/>
        </w:rPr>
        <w:t>确定预售物业项目的物业服务等级、停车场类别以及物业服务</w:t>
      </w:r>
      <w:r>
        <w:rPr>
          <w:rFonts w:hint="eastAsia" w:ascii="仿宋_GB2312" w:hAnsi="仿宋_GB2312" w:eastAsia="仿宋_GB2312" w:cs="仿宋_GB2312"/>
          <w:color w:val="auto"/>
          <w:sz w:val="32"/>
          <w:szCs w:val="32"/>
          <w:lang w:eastAsia="zh-CN"/>
        </w:rPr>
        <w:t>费</w:t>
      </w:r>
      <w:r>
        <w:rPr>
          <w:rFonts w:hint="eastAsia" w:ascii="仿宋_GB2312" w:hAnsi="仿宋_GB2312" w:eastAsia="仿宋_GB2312" w:cs="仿宋_GB2312"/>
          <w:color w:val="auto"/>
          <w:sz w:val="32"/>
          <w:szCs w:val="32"/>
        </w:rPr>
        <w:t>、停车服务</w:t>
      </w:r>
      <w:r>
        <w:rPr>
          <w:rFonts w:hint="eastAsia" w:ascii="仿宋_GB2312" w:hAnsi="仿宋_GB2312" w:eastAsia="仿宋_GB2312" w:cs="仿宋_GB2312"/>
          <w:color w:val="auto"/>
          <w:sz w:val="32"/>
          <w:szCs w:val="32"/>
          <w:lang w:eastAsia="zh-CN"/>
        </w:rPr>
        <w:t>费</w:t>
      </w:r>
      <w:r>
        <w:rPr>
          <w:rFonts w:hint="eastAsia" w:ascii="仿宋_GB2312" w:hAnsi="仿宋_GB2312" w:eastAsia="仿宋_GB2312" w:cs="仿宋_GB2312"/>
          <w:color w:val="auto"/>
          <w:sz w:val="32"/>
          <w:szCs w:val="32"/>
        </w:rPr>
        <w:t>标准等内容，在政府指导价范围内与物业服务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签订《前期物业服务合同》，向物业项目所在区（县）住房和城乡建设部门备案</w:t>
      </w:r>
      <w:r>
        <w:rPr>
          <w:rFonts w:hint="eastAsia" w:ascii="仿宋_GB2312" w:hAnsi="仿宋_GB2312" w:eastAsia="仿宋_GB2312" w:cs="仿宋_GB2312"/>
          <w:color w:val="auto"/>
          <w:sz w:val="32"/>
          <w:szCs w:val="32"/>
          <w:lang w:eastAsia="zh-CN"/>
        </w:rPr>
        <w:t>后，收费标准抄送同级发展改革部门、市场监督管理部门。</w:t>
      </w:r>
      <w:r>
        <w:rPr>
          <w:rFonts w:hint="eastAsia" w:ascii="仿宋_GB2312" w:hAnsi="仿宋_GB2312" w:eastAsia="仿宋_GB2312" w:cs="仿宋_GB2312"/>
          <w:color w:val="auto"/>
          <w:sz w:val="32"/>
          <w:szCs w:val="32"/>
        </w:rPr>
        <w:t>建设单位与物业买受人签订的房屋、车位买卖合同应当包含前期物业服务合同的内容。</w:t>
      </w:r>
    </w:p>
    <w:p w14:paraId="3A78A266">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前期物业服务合同》或者《物业服务合同》应当明确物业服务等级、服务内容、收费标准、收费方式及收费起始时间、合同终止情形等内容。涉及物业买受人共同利益的，其约定应当一致。同一物业管理区域内同类型的住宅项目，其物业服务收费标准应当保持一致。</w:t>
      </w:r>
    </w:p>
    <w:p w14:paraId="700A66EA">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1600" w:firstLineChars="500"/>
        <w:jc w:val="both"/>
        <w:textAlignment w:val="auto"/>
        <w:outlineLvl w:val="0"/>
        <w:rPr>
          <w:rFonts w:hint="eastAsia" w:ascii="黑体" w:hAnsi="黑体" w:eastAsia="黑体" w:cs="仿宋_GB2312"/>
          <w:bCs/>
          <w:color w:val="auto"/>
          <w:sz w:val="32"/>
          <w:szCs w:val="32"/>
          <w:lang w:val="en-US" w:eastAsia="zh-CN"/>
        </w:rPr>
      </w:pPr>
      <w:r>
        <w:rPr>
          <w:rFonts w:hint="eastAsia" w:ascii="黑体" w:hAnsi="黑体" w:eastAsia="黑体" w:cs="仿宋_GB2312"/>
          <w:bCs/>
          <w:color w:val="auto"/>
          <w:sz w:val="32"/>
          <w:szCs w:val="32"/>
          <w:lang w:val="en-US" w:eastAsia="zh-CN"/>
        </w:rPr>
        <w:t xml:space="preserve">    </w:t>
      </w:r>
    </w:p>
    <w:p w14:paraId="63D9068A">
      <w:pPr>
        <w:keepNext w:val="0"/>
        <w:keepLines w:val="0"/>
        <w:pageBreakBefore w:val="0"/>
        <w:numPr>
          <w:ilvl w:val="0"/>
          <w:numId w:val="0"/>
        </w:numPr>
        <w:kinsoku/>
        <w:wordWrap/>
        <w:overflowPunct/>
        <w:topLinePunct w:val="0"/>
        <w:autoSpaceDE/>
        <w:autoSpaceDN/>
        <w:bidi w:val="0"/>
        <w:adjustRightInd/>
        <w:snapToGrid/>
        <w:spacing w:line="540" w:lineRule="exact"/>
        <w:ind w:leftChars="0" w:firstLine="2240" w:firstLineChars="700"/>
        <w:jc w:val="both"/>
        <w:textAlignment w:val="auto"/>
        <w:outlineLvl w:val="0"/>
        <w:rPr>
          <w:rFonts w:hint="eastAsia" w:ascii="黑体" w:hAnsi="黑体" w:eastAsia="黑体" w:cs="仿宋_GB2312"/>
          <w:bCs/>
          <w:color w:val="auto"/>
          <w:sz w:val="32"/>
          <w:szCs w:val="32"/>
        </w:rPr>
      </w:pPr>
      <w:r>
        <w:rPr>
          <w:rFonts w:hint="eastAsia" w:ascii="黑体" w:hAnsi="黑体" w:eastAsia="黑体" w:cs="仿宋_GB2312"/>
          <w:bCs/>
          <w:color w:val="auto"/>
          <w:sz w:val="32"/>
          <w:szCs w:val="32"/>
          <w:lang w:val="en-US" w:eastAsia="zh-CN"/>
        </w:rPr>
        <w:t xml:space="preserve">第三章  </w:t>
      </w:r>
      <w:r>
        <w:rPr>
          <w:rFonts w:hint="eastAsia" w:ascii="黑体" w:hAnsi="黑体" w:eastAsia="黑体" w:cs="仿宋_GB2312"/>
          <w:bCs/>
          <w:color w:val="auto"/>
          <w:sz w:val="32"/>
          <w:szCs w:val="32"/>
        </w:rPr>
        <w:t>物业服务收费计费方式</w:t>
      </w:r>
    </w:p>
    <w:p w14:paraId="3DFBCBCF">
      <w:pPr>
        <w:keepNext w:val="0"/>
        <w:keepLines w:val="0"/>
        <w:pageBreakBefore w:val="0"/>
        <w:numPr>
          <w:ilvl w:val="0"/>
          <w:numId w:val="0"/>
        </w:numPr>
        <w:kinsoku/>
        <w:wordWrap/>
        <w:overflowPunct/>
        <w:topLinePunct w:val="0"/>
        <w:autoSpaceDE/>
        <w:autoSpaceDN/>
        <w:bidi w:val="0"/>
        <w:adjustRightInd/>
        <w:snapToGrid/>
        <w:spacing w:line="540" w:lineRule="exact"/>
        <w:ind w:leftChars="0"/>
        <w:jc w:val="both"/>
        <w:textAlignment w:val="auto"/>
        <w:outlineLvl w:val="0"/>
        <w:rPr>
          <w:rFonts w:hint="eastAsia" w:ascii="黑体" w:hAnsi="黑体" w:eastAsia="黑体" w:cs="仿宋_GB2312"/>
          <w:bCs/>
          <w:color w:val="auto"/>
          <w:sz w:val="32"/>
          <w:szCs w:val="32"/>
        </w:rPr>
      </w:pPr>
    </w:p>
    <w:p w14:paraId="3364F76E">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color w:val="auto"/>
          <w:sz w:val="32"/>
          <w:szCs w:val="32"/>
        </w:rPr>
      </w:pPr>
      <w:r>
        <w:rPr>
          <w:rFonts w:hint="eastAsia" w:ascii="黑体" w:hAnsi="黑体" w:eastAsia="黑体" w:cs="仿宋_GB2312"/>
          <w:bCs/>
          <w:color w:val="auto"/>
          <w:sz w:val="32"/>
          <w:szCs w:val="32"/>
        </w:rPr>
        <w:t>第十五条</w:t>
      </w:r>
      <w:r>
        <w:rPr>
          <w:rFonts w:hint="eastAsia" w:ascii="仿宋_GB2312" w:eastAsia="仿宋_GB2312"/>
          <w:color w:val="auto"/>
          <w:sz w:val="32"/>
          <w:szCs w:val="32"/>
        </w:rPr>
        <w:t xml:space="preserve">  物业服务费和停车服务费根据合同的约定按月计收，预收不能超过三个月。物业服务和停车服务合同对计收时间另有约定或业主自愿交纳的除外。</w:t>
      </w:r>
    </w:p>
    <w:p w14:paraId="0FD10086">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color w:val="auto"/>
          <w:sz w:val="32"/>
          <w:szCs w:val="32"/>
        </w:rPr>
      </w:pPr>
      <w:r>
        <w:rPr>
          <w:rFonts w:hint="eastAsia" w:ascii="黑体" w:hAnsi="黑体" w:eastAsia="黑体" w:cs="仿宋_GB2312"/>
          <w:bCs/>
          <w:color w:val="auto"/>
          <w:sz w:val="32"/>
          <w:szCs w:val="32"/>
        </w:rPr>
        <w:t>第十六条</w:t>
      </w:r>
      <w:r>
        <w:rPr>
          <w:rFonts w:hint="eastAsia" w:ascii="仿宋_GB2312" w:eastAsia="仿宋_GB2312"/>
          <w:color w:val="auto"/>
          <w:sz w:val="32"/>
          <w:szCs w:val="32"/>
        </w:rPr>
        <w:t xml:space="preserve">  物业服务费根据房屋的建筑面积按月计收。</w:t>
      </w:r>
    </w:p>
    <w:p w14:paraId="55B9580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（一）已办理不动产权属证书的房屋，按照权属证书记载的建筑面积计算</w:t>
      </w:r>
      <w:r>
        <w:rPr>
          <w:rFonts w:hint="eastAsia" w:ascii="仿宋_GB2312" w:eastAsia="仿宋_GB2312"/>
          <w:color w:val="auto"/>
          <w:sz w:val="32"/>
          <w:szCs w:val="32"/>
          <w:lang w:eastAsia="zh-CN"/>
        </w:rPr>
        <w:t>。</w:t>
      </w:r>
    </w:p>
    <w:p w14:paraId="5C37CC82">
      <w:pPr>
        <w:keepNext w:val="0"/>
        <w:keepLines w:val="0"/>
        <w:pageBreakBefore w:val="0"/>
        <w:widowControl w:val="0"/>
        <w:kinsoku/>
        <w:wordWrap/>
        <w:overflowPunct/>
        <w:topLinePunct w:val="0"/>
        <w:autoSpaceDE/>
        <w:autoSpaceDN/>
        <w:bidi w:val="0"/>
        <w:adjustRightInd/>
        <w:snapToGrid/>
        <w:spacing w:line="540" w:lineRule="exact"/>
        <w:ind w:firstLine="640"/>
        <w:textAlignment w:val="auto"/>
        <w:rPr>
          <w:rFonts w:ascii="仿宋_GB2312" w:eastAsia="仿宋_GB2312"/>
          <w:color w:val="auto"/>
          <w:sz w:val="32"/>
          <w:szCs w:val="32"/>
        </w:rPr>
      </w:pPr>
      <w:r>
        <w:rPr>
          <w:rFonts w:hint="eastAsia" w:ascii="仿宋_GB2312" w:eastAsia="仿宋_GB2312"/>
          <w:color w:val="auto"/>
          <w:sz w:val="32"/>
          <w:szCs w:val="32"/>
        </w:rPr>
        <w:t>（二）已出售但尚未取得不动产权属证书的房屋，按买卖合同记载的建筑面积计算。不动产权属证书办理后，次月起按照不动产权属证书记载的建筑面积计算。</w:t>
      </w:r>
    </w:p>
    <w:p w14:paraId="603FC79C">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color w:val="auto"/>
          <w:sz w:val="32"/>
          <w:szCs w:val="32"/>
        </w:rPr>
      </w:pPr>
      <w:r>
        <w:rPr>
          <w:rFonts w:hint="eastAsia" w:ascii="仿宋_GB2312" w:eastAsia="仿宋_GB2312"/>
          <w:color w:val="auto"/>
          <w:sz w:val="32"/>
          <w:szCs w:val="32"/>
        </w:rPr>
        <w:t>（三）未计入产权面积的附属房屋（地下室、储藏室等）不得收取物业服务费。已办理不动产权属证书的附属房屋，其物业服务费按照同类型住宅收费标准的50%收取。</w:t>
      </w:r>
    </w:p>
    <w:p w14:paraId="14D717CB">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eastAsia="仿宋_GB2312"/>
          <w:color w:val="auto"/>
          <w:sz w:val="32"/>
          <w:szCs w:val="32"/>
        </w:rPr>
      </w:pPr>
      <w:r>
        <w:rPr>
          <w:rFonts w:hint="eastAsia" w:ascii="黑体" w:hAnsi="黑体" w:eastAsia="黑体" w:cs="仿宋_GB2312"/>
          <w:bCs/>
          <w:color w:val="auto"/>
          <w:sz w:val="32"/>
          <w:szCs w:val="32"/>
        </w:rPr>
        <w:t>第十七条</w:t>
      </w:r>
      <w:r>
        <w:rPr>
          <w:rFonts w:hint="eastAsia" w:ascii="仿宋_GB2312" w:eastAsia="仿宋_GB2312"/>
          <w:color w:val="auto"/>
          <w:sz w:val="32"/>
          <w:szCs w:val="32"/>
        </w:rPr>
        <w:t xml:space="preserve">  纳入物业管理范围已竣工但尚未出售，或者因建设单位原因未按时交付给物业买受人的房屋或者车位，物业服务费或者停车服务费由建设单位全额交纳。符合交付条件的房屋或者车位，物业服务费或者停车服务费从交付次日起由业主按月交纳。业主因自身原因</w:t>
      </w:r>
      <w:r>
        <w:rPr>
          <w:rFonts w:hint="eastAsia" w:ascii="仿宋_GB2312" w:eastAsia="仿宋_GB2312"/>
          <w:color w:val="auto"/>
          <w:sz w:val="32"/>
          <w:szCs w:val="32"/>
          <w:lang w:eastAsia="zh-CN"/>
        </w:rPr>
        <w:t>对符合交付条件的房屋或者车位，</w:t>
      </w:r>
      <w:r>
        <w:rPr>
          <w:rFonts w:hint="eastAsia" w:ascii="仿宋_GB2312" w:eastAsia="仿宋_GB2312"/>
          <w:color w:val="auto"/>
          <w:sz w:val="32"/>
          <w:szCs w:val="32"/>
        </w:rPr>
        <w:t>逾期未办理物业或停车交付手续的，其空置期间的物业服务费、停车服务费从建设单位书面通知业主办理交付手续截止日期的次日起由业主按月交纳。</w:t>
      </w:r>
    </w:p>
    <w:p w14:paraId="3289C18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hAnsi="仿宋" w:eastAsia="仿宋_GB2312"/>
          <w:color w:val="auto"/>
          <w:sz w:val="32"/>
          <w:szCs w:val="32"/>
        </w:rPr>
      </w:pPr>
      <w:r>
        <w:rPr>
          <w:rFonts w:hint="eastAsia" w:ascii="黑体" w:hAnsi="黑体" w:eastAsia="黑体" w:cs="仿宋_GB2312"/>
          <w:bCs/>
          <w:color w:val="auto"/>
          <w:sz w:val="32"/>
          <w:szCs w:val="32"/>
        </w:rPr>
        <w:t>第十八条</w:t>
      </w:r>
      <w:r>
        <w:rPr>
          <w:rFonts w:hint="eastAsia" w:ascii="仿宋_GB2312" w:eastAsia="仿宋_GB2312"/>
          <w:color w:val="auto"/>
          <w:sz w:val="32"/>
          <w:szCs w:val="32"/>
        </w:rPr>
        <w:t xml:space="preserve">  </w:t>
      </w:r>
      <w:r>
        <w:rPr>
          <w:rFonts w:hint="eastAsia" w:ascii="仿宋_GB2312" w:eastAsia="仿宋_GB2312"/>
          <w:bCs/>
          <w:color w:val="auto"/>
          <w:sz w:val="32"/>
          <w:szCs w:val="32"/>
        </w:rPr>
        <w:t>实行政府指导价的物业服务费、停车服务费实行减免政策。</w:t>
      </w:r>
      <w:r>
        <w:rPr>
          <w:rFonts w:hint="eastAsia" w:ascii="仿宋_GB2312" w:eastAsia="仿宋_GB2312"/>
          <w:color w:val="auto"/>
          <w:sz w:val="32"/>
          <w:szCs w:val="32"/>
        </w:rPr>
        <w:t>经业主验收，暂不使用或使用后因自身原因空置</w:t>
      </w:r>
      <w:r>
        <w:rPr>
          <w:rFonts w:hint="eastAsia" w:ascii="仿宋_GB2312" w:eastAsia="仿宋_GB2312"/>
          <w:color w:val="auto"/>
          <w:sz w:val="32"/>
          <w:szCs w:val="32"/>
          <w:lang w:val="en-US" w:eastAsia="zh-CN"/>
        </w:rPr>
        <w:t>1</w:t>
      </w:r>
      <w:r>
        <w:rPr>
          <w:rFonts w:hint="eastAsia" w:ascii="仿宋_GB2312" w:eastAsia="仿宋_GB2312"/>
          <w:color w:val="auto"/>
          <w:sz w:val="32"/>
          <w:szCs w:val="32"/>
        </w:rPr>
        <w:t>个月以上</w:t>
      </w:r>
      <w:r>
        <w:rPr>
          <w:rFonts w:hint="eastAsia" w:ascii="仿宋_GB2312" w:eastAsia="仿宋_GB2312"/>
          <w:bCs/>
          <w:color w:val="auto"/>
          <w:sz w:val="32"/>
          <w:szCs w:val="32"/>
        </w:rPr>
        <w:t>的</w:t>
      </w:r>
      <w:r>
        <w:rPr>
          <w:rFonts w:hint="eastAsia" w:ascii="仿宋_GB2312" w:eastAsia="仿宋_GB2312"/>
          <w:color w:val="auto"/>
          <w:sz w:val="32"/>
          <w:szCs w:val="32"/>
        </w:rPr>
        <w:t>房屋、自有或者租赁车位，业主需提前向</w:t>
      </w:r>
      <w:r>
        <w:rPr>
          <w:rFonts w:hint="eastAsia" w:ascii="仿宋_GB2312" w:eastAsia="仿宋_GB2312"/>
          <w:color w:val="auto"/>
          <w:sz w:val="32"/>
          <w:szCs w:val="32"/>
          <w:lang w:eastAsia="zh-CN"/>
        </w:rPr>
        <w:t>物业服务人</w:t>
      </w:r>
      <w:r>
        <w:rPr>
          <w:rFonts w:hint="eastAsia" w:ascii="仿宋_GB2312" w:eastAsia="仿宋_GB2312"/>
          <w:color w:val="auto"/>
          <w:sz w:val="32"/>
          <w:szCs w:val="32"/>
        </w:rPr>
        <w:t>提出申请，</w:t>
      </w:r>
      <w:r>
        <w:rPr>
          <w:rFonts w:hint="eastAsia" w:ascii="仿宋_GB2312" w:hAnsi="仿宋" w:eastAsia="仿宋_GB2312"/>
          <w:color w:val="auto"/>
          <w:sz w:val="32"/>
          <w:szCs w:val="32"/>
        </w:rPr>
        <w:t>经</w:t>
      </w:r>
      <w:r>
        <w:rPr>
          <w:rFonts w:hint="eastAsia" w:ascii="仿宋_GB2312" w:hAnsi="仿宋" w:eastAsia="仿宋_GB2312"/>
          <w:color w:val="auto"/>
          <w:sz w:val="32"/>
          <w:szCs w:val="32"/>
          <w:lang w:eastAsia="zh-CN"/>
        </w:rPr>
        <w:t>物业服务人</w:t>
      </w:r>
      <w:r>
        <w:rPr>
          <w:rFonts w:hint="eastAsia" w:ascii="仿宋_GB2312" w:hAnsi="仿宋" w:eastAsia="仿宋_GB2312"/>
          <w:color w:val="auto"/>
          <w:sz w:val="32"/>
          <w:szCs w:val="32"/>
        </w:rPr>
        <w:t>登记确认的次日起，</w:t>
      </w:r>
      <w:r>
        <w:rPr>
          <w:rFonts w:hint="eastAsia" w:ascii="仿宋_GB2312" w:eastAsia="仿宋_GB2312"/>
          <w:color w:val="auto"/>
          <w:sz w:val="32"/>
          <w:szCs w:val="32"/>
        </w:rPr>
        <w:t>其空置期间的物业服务费、停车服务费分别</w:t>
      </w:r>
      <w:r>
        <w:rPr>
          <w:rFonts w:hint="eastAsia" w:ascii="仿宋_GB2312" w:hAnsi="仿宋" w:eastAsia="仿宋_GB2312"/>
          <w:color w:val="auto"/>
          <w:sz w:val="32"/>
          <w:szCs w:val="32"/>
        </w:rPr>
        <w:t>按物业服务合同约定收费标准的70%、50%交纳。</w:t>
      </w:r>
      <w:r>
        <w:rPr>
          <w:rFonts w:hint="eastAsia" w:ascii="仿宋_GB2312" w:eastAsia="仿宋_GB2312"/>
          <w:color w:val="auto"/>
          <w:sz w:val="32"/>
          <w:szCs w:val="32"/>
        </w:rPr>
        <w:t>实行市场调节价的按照物业服务合同的约定执行</w:t>
      </w:r>
      <w:r>
        <w:rPr>
          <w:rFonts w:hint="eastAsia" w:ascii="仿宋_GB2312" w:eastAsia="仿宋_GB2312"/>
          <w:color w:val="auto"/>
          <w:sz w:val="32"/>
          <w:szCs w:val="32"/>
          <w:lang w:eastAsia="zh-CN"/>
        </w:rPr>
        <w:t>。</w:t>
      </w:r>
      <w:r>
        <w:rPr>
          <w:rFonts w:hint="eastAsia" w:ascii="仿宋_GB2312" w:eastAsia="仿宋_GB2312"/>
          <w:color w:val="auto"/>
          <w:sz w:val="32"/>
          <w:szCs w:val="32"/>
        </w:rPr>
        <w:t xml:space="preserve">                                                                                                                                      </w:t>
      </w:r>
    </w:p>
    <w:p w14:paraId="5FE1A078">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ascii="仿宋_GB2312" w:hAnsi="Tahoma" w:eastAsia="仿宋_GB2312" w:cs="Tahoma"/>
          <w:color w:val="auto"/>
          <w:sz w:val="32"/>
          <w:szCs w:val="32"/>
          <w:shd w:val="clear" w:color="auto" w:fill="FFFFFF"/>
        </w:rPr>
      </w:pPr>
      <w:r>
        <w:rPr>
          <w:rFonts w:hint="eastAsia" w:ascii="黑体" w:hAnsi="黑体" w:eastAsia="黑体" w:cs="仿宋_GB2312"/>
          <w:bCs/>
          <w:color w:val="auto"/>
          <w:sz w:val="32"/>
          <w:szCs w:val="32"/>
        </w:rPr>
        <w:t>第十九条</w:t>
      </w:r>
      <w:r>
        <w:rPr>
          <w:rFonts w:hint="eastAsia" w:ascii="仿宋_GB2312" w:eastAsia="仿宋_GB2312"/>
          <w:color w:val="auto"/>
          <w:sz w:val="32"/>
          <w:szCs w:val="32"/>
        </w:rPr>
        <w:t xml:space="preserve"> </w:t>
      </w:r>
      <w:r>
        <w:rPr>
          <w:rFonts w:hint="eastAsia" w:ascii="仿宋_GB2312" w:hAnsi="Tahoma" w:eastAsia="仿宋_GB2312" w:cs="Tahoma"/>
          <w:color w:val="auto"/>
          <w:sz w:val="32"/>
          <w:szCs w:val="32"/>
          <w:shd w:val="clear" w:color="auto" w:fill="FFFFFF"/>
        </w:rPr>
        <w:t>物业服务区域内规划用于停放汽车的配建停车场，应当首先满足本物业管理区域内业主的需要</w:t>
      </w:r>
      <w:r>
        <w:rPr>
          <w:rFonts w:hint="eastAsia" w:ascii="仿宋_GB2312" w:hAnsi="Tahoma" w:eastAsia="仿宋_GB2312" w:cs="Tahoma"/>
          <w:color w:val="auto"/>
          <w:sz w:val="32"/>
          <w:szCs w:val="32"/>
          <w:shd w:val="clear" w:color="auto" w:fill="FFFFFF"/>
          <w:lang w:eastAsia="zh-CN"/>
        </w:rPr>
        <w:t>，按照停车服务合同约定</w:t>
      </w:r>
      <w:r>
        <w:rPr>
          <w:rFonts w:hint="eastAsia" w:ascii="仿宋_GB2312" w:hAnsi="仿宋_GB2312" w:eastAsia="仿宋_GB2312" w:cs="仿宋_GB2312"/>
          <w:color w:val="auto"/>
          <w:sz w:val="32"/>
          <w:szCs w:val="32"/>
        </w:rPr>
        <w:t>停车收费实行按月或按次收费</w:t>
      </w:r>
      <w:r>
        <w:rPr>
          <w:rFonts w:hint="eastAsia" w:ascii="仿宋_GB2312" w:hAnsi="仿宋_GB2312" w:eastAsia="仿宋_GB2312" w:cs="仿宋_GB2312"/>
          <w:color w:val="auto"/>
          <w:sz w:val="32"/>
          <w:szCs w:val="32"/>
          <w:lang w:eastAsia="zh-CN"/>
        </w:rPr>
        <w:t>。</w:t>
      </w:r>
      <w:r>
        <w:rPr>
          <w:rFonts w:hint="eastAsia" w:ascii="仿宋_GB2312" w:hAnsi="Tahoma" w:eastAsia="仿宋_GB2312" w:cs="Tahoma"/>
          <w:color w:val="auto"/>
          <w:sz w:val="32"/>
          <w:szCs w:val="32"/>
          <w:shd w:val="clear" w:color="auto" w:fill="FFFFFF"/>
        </w:rPr>
        <w:t>物业服务</w:t>
      </w:r>
      <w:r>
        <w:rPr>
          <w:rFonts w:hint="eastAsia" w:ascii="仿宋_GB2312" w:hAnsi="Tahoma" w:eastAsia="仿宋_GB2312" w:cs="Tahoma"/>
          <w:color w:val="auto"/>
          <w:sz w:val="32"/>
          <w:szCs w:val="32"/>
          <w:shd w:val="clear" w:color="auto" w:fill="FFFFFF"/>
          <w:lang w:eastAsia="zh-CN"/>
        </w:rPr>
        <w:t>人</w:t>
      </w:r>
      <w:r>
        <w:rPr>
          <w:rFonts w:hint="eastAsia" w:ascii="仿宋_GB2312" w:hAnsi="Tahoma" w:eastAsia="仿宋_GB2312" w:cs="Tahoma"/>
          <w:color w:val="auto"/>
          <w:sz w:val="32"/>
          <w:szCs w:val="32"/>
          <w:shd w:val="clear" w:color="auto" w:fill="FFFFFF"/>
        </w:rPr>
        <w:t>在收到业主告知后，不得限制或者妨碍业主在自有以及租赁的车位上免费停放未登记的车辆。</w:t>
      </w:r>
    </w:p>
    <w:p w14:paraId="1E3E00B9">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color w:val="auto"/>
          <w:sz w:val="32"/>
          <w:szCs w:val="32"/>
        </w:rPr>
      </w:pPr>
      <w:r>
        <w:rPr>
          <w:rFonts w:hint="eastAsia" w:ascii="仿宋_GB2312" w:hAnsi="仿宋_GB2312" w:eastAsia="仿宋_GB2312" w:cs="仿宋_GB2312"/>
          <w:b/>
          <w:bCs/>
          <w:color w:val="auto"/>
          <w:sz w:val="32"/>
          <w:szCs w:val="32"/>
        </w:rPr>
        <w:t xml:space="preserve">    </w:t>
      </w:r>
      <w:r>
        <w:rPr>
          <w:rFonts w:hint="eastAsia" w:ascii="黑体" w:hAnsi="黑体" w:eastAsia="黑体" w:cs="仿宋_GB2312"/>
          <w:bCs/>
          <w:color w:val="auto"/>
          <w:sz w:val="32"/>
          <w:szCs w:val="32"/>
        </w:rPr>
        <w:t>第二十条</w:t>
      </w:r>
      <w:r>
        <w:rPr>
          <w:rFonts w:hint="eastAsia" w:ascii="仿宋_GB2312" w:eastAsia="仿宋_GB2312"/>
          <w:color w:val="auto"/>
          <w:sz w:val="32"/>
          <w:szCs w:val="32"/>
        </w:rPr>
        <w:t xml:space="preserve">  下列车辆临时进入物业管理区域内停放的，不得收取费用：</w:t>
      </w:r>
    </w:p>
    <w:p w14:paraId="52CBA083">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color w:val="auto"/>
          <w:sz w:val="32"/>
          <w:szCs w:val="32"/>
        </w:rPr>
      </w:pPr>
      <w:r>
        <w:rPr>
          <w:rFonts w:hint="eastAsia" w:ascii="仿宋_GB2312" w:eastAsia="仿宋_GB2312"/>
          <w:color w:val="auto"/>
          <w:sz w:val="32"/>
          <w:szCs w:val="32"/>
        </w:rPr>
        <w:t xml:space="preserve">    （一）临时停放30分钟之内的车辆;</w:t>
      </w:r>
    </w:p>
    <w:p w14:paraId="20389B4E">
      <w:pPr>
        <w:keepNext w:val="0"/>
        <w:keepLines w:val="0"/>
        <w:pageBreakBefore w:val="0"/>
        <w:widowControl w:val="0"/>
        <w:kinsoku/>
        <w:wordWrap/>
        <w:overflowPunct/>
        <w:topLinePunct w:val="0"/>
        <w:autoSpaceDE/>
        <w:autoSpaceDN/>
        <w:bidi w:val="0"/>
        <w:adjustRightInd/>
        <w:snapToGrid/>
        <w:spacing w:line="540" w:lineRule="exact"/>
        <w:textAlignment w:val="auto"/>
        <w:rPr>
          <w:rFonts w:ascii="仿宋_GB2312" w:eastAsia="仿宋_GB2312"/>
          <w:color w:val="auto"/>
          <w:sz w:val="32"/>
          <w:szCs w:val="32"/>
        </w:rPr>
      </w:pPr>
      <w:r>
        <w:rPr>
          <w:rFonts w:hint="eastAsia" w:ascii="仿宋_GB2312" w:eastAsia="仿宋_GB2312"/>
          <w:color w:val="auto"/>
          <w:sz w:val="32"/>
          <w:szCs w:val="32"/>
        </w:rPr>
        <w:t xml:space="preserve">    （二）执行公务的军队、武警、公安、消防、抢险、救护、环卫等特种车辆；</w:t>
      </w:r>
    </w:p>
    <w:p w14:paraId="0F963184">
      <w:pPr>
        <w:keepNext w:val="0"/>
        <w:keepLines w:val="0"/>
        <w:pageBreakBefore w:val="0"/>
        <w:widowControl w:val="0"/>
        <w:kinsoku/>
        <w:wordWrap/>
        <w:overflowPunct/>
        <w:topLinePunct w:val="0"/>
        <w:autoSpaceDE/>
        <w:autoSpaceDN/>
        <w:bidi w:val="0"/>
        <w:adjustRightInd/>
        <w:snapToGrid/>
        <w:spacing w:line="540" w:lineRule="exact"/>
        <w:ind w:firstLine="645"/>
        <w:textAlignment w:val="auto"/>
        <w:rPr>
          <w:rFonts w:ascii="仿宋_GB2312" w:eastAsia="仿宋_GB2312"/>
          <w:color w:val="auto"/>
          <w:sz w:val="32"/>
          <w:szCs w:val="32"/>
        </w:rPr>
      </w:pPr>
      <w:r>
        <w:rPr>
          <w:rFonts w:hint="eastAsia" w:ascii="仿宋_GB2312" w:eastAsia="仿宋_GB2312"/>
          <w:color w:val="auto"/>
          <w:sz w:val="32"/>
          <w:szCs w:val="32"/>
        </w:rPr>
        <w:t>（三）为业主或物业使用人提供搬家、婚庆、殡葬、配送货物等服务的车辆；</w:t>
      </w:r>
    </w:p>
    <w:p w14:paraId="651B1849">
      <w:pPr>
        <w:keepNext w:val="0"/>
        <w:keepLines w:val="0"/>
        <w:pageBreakBefore w:val="0"/>
        <w:widowControl w:val="0"/>
        <w:kinsoku/>
        <w:wordWrap/>
        <w:overflowPunct/>
        <w:topLinePunct w:val="0"/>
        <w:autoSpaceDE/>
        <w:autoSpaceDN/>
        <w:bidi w:val="0"/>
        <w:adjustRightInd/>
        <w:snapToGrid/>
        <w:spacing w:line="540" w:lineRule="exact"/>
        <w:ind w:firstLine="645"/>
        <w:textAlignment w:val="auto"/>
        <w:rPr>
          <w:rFonts w:hint="eastAsia" w:ascii="仿宋_GB2312" w:eastAsia="仿宋_GB2312"/>
          <w:color w:val="auto"/>
          <w:sz w:val="32"/>
          <w:szCs w:val="32"/>
          <w:lang w:eastAsia="zh-CN"/>
        </w:rPr>
      </w:pPr>
      <w:r>
        <w:rPr>
          <w:rFonts w:hint="eastAsia" w:ascii="仿宋_GB2312" w:eastAsia="仿宋_GB2312"/>
          <w:color w:val="auto"/>
          <w:sz w:val="32"/>
          <w:szCs w:val="32"/>
        </w:rPr>
        <w:t>（四）残疾人车辆（仅限小区地面无障碍车位停放的由残疾人驾驶的车辆）</w:t>
      </w:r>
      <w:r>
        <w:rPr>
          <w:rFonts w:hint="eastAsia" w:ascii="仿宋_GB2312" w:eastAsia="仿宋_GB2312"/>
          <w:color w:val="auto"/>
          <w:sz w:val="32"/>
          <w:szCs w:val="32"/>
          <w:lang w:eastAsia="zh-CN"/>
        </w:rPr>
        <w:t>；</w:t>
      </w:r>
    </w:p>
    <w:p w14:paraId="3C0D86F9">
      <w:pPr>
        <w:keepNext w:val="0"/>
        <w:keepLines w:val="0"/>
        <w:pageBreakBefore w:val="0"/>
        <w:widowControl w:val="0"/>
        <w:kinsoku/>
        <w:wordWrap/>
        <w:overflowPunct/>
        <w:topLinePunct w:val="0"/>
        <w:autoSpaceDE/>
        <w:autoSpaceDN/>
        <w:bidi w:val="0"/>
        <w:adjustRightInd/>
        <w:snapToGrid/>
        <w:spacing w:line="540" w:lineRule="exact"/>
        <w:ind w:firstLine="645"/>
        <w:textAlignment w:val="auto"/>
        <w:rPr>
          <w:rFonts w:hint="eastAsia" w:ascii="仿宋_GB2312" w:eastAsia="仿宋_GB2312"/>
          <w:b w:val="0"/>
          <w:bCs w:val="0"/>
          <w:color w:val="auto"/>
          <w:sz w:val="32"/>
          <w:szCs w:val="32"/>
          <w:lang w:eastAsia="zh-CN"/>
        </w:rPr>
      </w:pPr>
      <w:r>
        <w:rPr>
          <w:rFonts w:hint="eastAsia" w:ascii="仿宋_GB2312" w:eastAsia="仿宋_GB2312"/>
          <w:b w:val="0"/>
          <w:bCs w:val="0"/>
          <w:color w:val="auto"/>
          <w:sz w:val="32"/>
          <w:szCs w:val="32"/>
          <w:lang w:eastAsia="zh-CN"/>
        </w:rPr>
        <w:t>（五）法律法规等规定应当减免的车辆。</w:t>
      </w:r>
    </w:p>
    <w:p w14:paraId="69DB419E">
      <w:pPr>
        <w:keepNext w:val="0"/>
        <w:keepLines w:val="0"/>
        <w:pageBreakBefore w:val="0"/>
        <w:numPr>
          <w:ilvl w:val="0"/>
          <w:numId w:val="0"/>
        </w:numPr>
        <w:kinsoku/>
        <w:wordWrap/>
        <w:overflowPunct/>
        <w:topLinePunct w:val="0"/>
        <w:autoSpaceDE/>
        <w:autoSpaceDN/>
        <w:bidi w:val="0"/>
        <w:adjustRightInd/>
        <w:snapToGrid/>
        <w:spacing w:line="540" w:lineRule="exact"/>
        <w:jc w:val="center"/>
        <w:textAlignment w:val="auto"/>
        <w:outlineLvl w:val="0"/>
        <w:rPr>
          <w:rFonts w:hint="eastAsia" w:ascii="黑体" w:hAnsi="黑体" w:eastAsia="黑体" w:cs="仿宋_GB2312"/>
          <w:bCs/>
          <w:color w:val="auto"/>
          <w:sz w:val="32"/>
          <w:szCs w:val="32"/>
          <w:lang w:eastAsia="zh-CN"/>
        </w:rPr>
      </w:pPr>
    </w:p>
    <w:p w14:paraId="3B0E6078">
      <w:pPr>
        <w:keepNext w:val="0"/>
        <w:keepLines w:val="0"/>
        <w:pageBreakBefore w:val="0"/>
        <w:widowControl w:val="0"/>
        <w:numPr>
          <w:ilvl w:val="0"/>
          <w:numId w:val="0"/>
        </w:numPr>
        <w:kinsoku/>
        <w:wordWrap/>
        <w:overflowPunct/>
        <w:topLinePunct w:val="0"/>
        <w:autoSpaceDE/>
        <w:autoSpaceDN/>
        <w:bidi w:val="0"/>
        <w:adjustRightInd/>
        <w:snapToGrid/>
        <w:spacing w:line="550" w:lineRule="exact"/>
        <w:jc w:val="center"/>
        <w:textAlignment w:val="auto"/>
        <w:outlineLvl w:val="0"/>
        <w:rPr>
          <w:rFonts w:hint="eastAsia" w:ascii="黑体" w:hAnsi="黑体" w:eastAsia="黑体" w:cs="仿宋_GB2312"/>
          <w:bCs/>
          <w:color w:val="auto"/>
          <w:sz w:val="32"/>
          <w:szCs w:val="32"/>
        </w:rPr>
      </w:pPr>
      <w:r>
        <w:rPr>
          <w:rFonts w:hint="eastAsia" w:ascii="黑体" w:hAnsi="黑体" w:eastAsia="黑体" w:cs="仿宋_GB2312"/>
          <w:bCs/>
          <w:color w:val="auto"/>
          <w:sz w:val="32"/>
          <w:szCs w:val="32"/>
          <w:lang w:eastAsia="zh-CN"/>
        </w:rPr>
        <w:t>第四章</w:t>
      </w:r>
      <w:r>
        <w:rPr>
          <w:rFonts w:hint="eastAsia" w:ascii="黑体" w:hAnsi="黑体" w:eastAsia="黑体" w:cs="仿宋_GB2312"/>
          <w:bCs/>
          <w:color w:val="auto"/>
          <w:sz w:val="32"/>
          <w:szCs w:val="32"/>
        </w:rPr>
        <w:t xml:space="preserve"> 行为规范与监督管理</w:t>
      </w:r>
    </w:p>
    <w:p w14:paraId="2FF72092">
      <w:pPr>
        <w:keepNext w:val="0"/>
        <w:keepLines w:val="0"/>
        <w:pageBreakBefore w:val="0"/>
        <w:widowControl w:val="0"/>
        <w:numPr>
          <w:ilvl w:val="0"/>
          <w:numId w:val="0"/>
        </w:numPr>
        <w:kinsoku/>
        <w:wordWrap/>
        <w:overflowPunct/>
        <w:topLinePunct w:val="0"/>
        <w:autoSpaceDE/>
        <w:autoSpaceDN/>
        <w:bidi w:val="0"/>
        <w:adjustRightInd/>
        <w:snapToGrid/>
        <w:spacing w:line="550" w:lineRule="exact"/>
        <w:jc w:val="both"/>
        <w:textAlignment w:val="auto"/>
        <w:outlineLvl w:val="0"/>
        <w:rPr>
          <w:rFonts w:hint="eastAsia" w:ascii="黑体" w:hAnsi="黑体" w:eastAsia="黑体" w:cs="仿宋_GB2312"/>
          <w:bCs/>
          <w:color w:val="auto"/>
          <w:sz w:val="32"/>
          <w:szCs w:val="32"/>
        </w:rPr>
      </w:pPr>
    </w:p>
    <w:p w14:paraId="7699034D">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仿宋_GB2312"/>
          <w:bCs/>
          <w:color w:val="auto"/>
          <w:sz w:val="32"/>
          <w:szCs w:val="32"/>
        </w:rPr>
        <w:t>第二十一条</w:t>
      </w:r>
      <w:r>
        <w:rPr>
          <w:rFonts w:hint="eastAsia" w:ascii="仿宋_GB2312" w:hAnsi="仿宋_GB2312" w:eastAsia="仿宋_GB2312" w:cs="仿宋_GB2312"/>
          <w:color w:val="auto"/>
          <w:sz w:val="32"/>
          <w:szCs w:val="32"/>
        </w:rPr>
        <w:t xml:space="preserve">  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应当遵守法律、法规和政策规定，</w:t>
      </w:r>
      <w:r>
        <w:rPr>
          <w:rFonts w:hint="eastAsia" w:ascii="仿宋_GB2312" w:hAnsi="仿宋_GB2312" w:eastAsia="仿宋_GB2312" w:cs="仿宋_GB2312"/>
          <w:color w:val="auto"/>
          <w:sz w:val="32"/>
          <w:szCs w:val="32"/>
          <w:lang w:eastAsia="zh-CN"/>
        </w:rPr>
        <w:t>按照合同约定向业主收取相关费用，不得将签订</w:t>
      </w:r>
      <w:r>
        <w:rPr>
          <w:rFonts w:hint="eastAsia" w:ascii="仿宋_GB2312" w:hAnsi="仿宋_GB2312" w:eastAsia="仿宋_GB2312" w:cs="仿宋_GB2312"/>
          <w:color w:val="auto"/>
          <w:sz w:val="32"/>
          <w:szCs w:val="32"/>
        </w:rPr>
        <w:t>《前期物业服务合同》或者《物业服务合同》</w:t>
      </w:r>
      <w:r>
        <w:rPr>
          <w:rFonts w:hint="eastAsia" w:ascii="仿宋_GB2312" w:hAnsi="仿宋_GB2312" w:eastAsia="仿宋_GB2312" w:cs="仿宋_GB2312"/>
          <w:color w:val="auto"/>
          <w:sz w:val="32"/>
          <w:szCs w:val="32"/>
          <w:lang w:eastAsia="zh-CN"/>
        </w:rPr>
        <w:t>内容以外的其他服务合同作为向业主交付物业的前置条件强制捆绑、强制服务、强制收费，或者只收费不服务、多收费少服务以及变相收费。</w:t>
      </w:r>
    </w:p>
    <w:p w14:paraId="29824DAC">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特约服务、增值服务、有偿服务等相关物业服务收费由物业服务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在物业服务区域内的显著位置公示服务项目及收费标准，经业主自愿选择，由物业服务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与业主通过合同另行约定。</w:t>
      </w:r>
    </w:p>
    <w:p w14:paraId="0F41D57F">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pacing w:val="-11"/>
          <w:sz w:val="32"/>
          <w:szCs w:val="32"/>
        </w:rPr>
      </w:pPr>
      <w:r>
        <w:rPr>
          <w:rFonts w:hint="eastAsia" w:ascii="黑体" w:hAnsi="黑体" w:eastAsia="黑体" w:cs="仿宋_GB2312"/>
          <w:bCs/>
          <w:color w:val="auto"/>
          <w:sz w:val="32"/>
          <w:szCs w:val="32"/>
        </w:rPr>
        <w:t>第二十二条</w:t>
      </w: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color w:val="auto"/>
          <w:sz w:val="32"/>
          <w:szCs w:val="32"/>
        </w:rPr>
        <w:t>建设单位应当按照建设项目规划设计和配建标准建设停车场（位),优先满足业主停车需求。住宅小区房屋销售前，建设单位应当在销售场所醒目位置公示</w:t>
      </w:r>
      <w:r>
        <w:rPr>
          <w:rFonts w:hint="eastAsia" w:ascii="仿宋_GB2312" w:hAnsi="仿宋_GB2312" w:eastAsia="仿宋_GB2312" w:cs="仿宋_GB2312"/>
          <w:color w:val="auto"/>
          <w:sz w:val="32"/>
          <w:szCs w:val="32"/>
          <w:lang w:eastAsia="zh-CN"/>
        </w:rPr>
        <w:t>停</w:t>
      </w:r>
      <w:r>
        <w:rPr>
          <w:rFonts w:hint="eastAsia" w:ascii="仿宋_GB2312" w:hAnsi="仿宋_GB2312" w:eastAsia="仿宋_GB2312" w:cs="仿宋_GB2312"/>
          <w:color w:val="auto"/>
          <w:sz w:val="32"/>
          <w:szCs w:val="32"/>
        </w:rPr>
        <w:t>车场(位)规划配比、个数、类型、面积、位置、租售方式等，不得以不公平的高价租售或者与商品住房等捆绑租售</w:t>
      </w:r>
      <w:r>
        <w:rPr>
          <w:rFonts w:hint="eastAsia" w:ascii="仿宋_GB2312" w:hAnsi="仿宋_GB2312" w:eastAsia="仿宋_GB2312" w:cs="仿宋_GB2312"/>
          <w:color w:val="auto"/>
          <w:sz w:val="32"/>
          <w:szCs w:val="32"/>
          <w:lang w:eastAsia="zh-CN"/>
        </w:rPr>
        <w:t>停</w:t>
      </w:r>
      <w:r>
        <w:rPr>
          <w:rFonts w:hint="eastAsia" w:ascii="仿宋_GB2312" w:hAnsi="仿宋_GB2312" w:eastAsia="仿宋_GB2312" w:cs="仿宋_GB2312"/>
          <w:color w:val="auto"/>
          <w:sz w:val="32"/>
          <w:szCs w:val="32"/>
        </w:rPr>
        <w:t>车场（位)。</w:t>
      </w:r>
    </w:p>
    <w:p w14:paraId="15E43C2A">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第二十三条</w:t>
      </w:r>
      <w:r>
        <w:rPr>
          <w:rFonts w:hint="eastAsia" w:ascii="仿宋_GB2312" w:hAnsi="仿宋_GB2312" w:eastAsia="仿宋_GB2312" w:cs="仿宋_GB2312"/>
          <w:color w:val="auto"/>
          <w:sz w:val="32"/>
          <w:szCs w:val="32"/>
        </w:rPr>
        <w:t xml:space="preserve">  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接受专营单位委托代收费用的，不得向业主收取手续费等额外费用，也不得以未交物业服务费为由限制或者妨碍业主对水、电、气、暖等的正常使用。物业服务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与专营单位签订的相关合同应向全体业主公开，不得损害业主</w:t>
      </w:r>
      <w:r>
        <w:rPr>
          <w:rFonts w:hint="eastAsia" w:ascii="仿宋_GB2312" w:hAnsi="仿宋_GB2312" w:eastAsia="仿宋_GB2312" w:cs="仿宋_GB2312"/>
          <w:color w:val="auto"/>
          <w:sz w:val="32"/>
          <w:szCs w:val="32"/>
          <w:lang w:eastAsia="zh-CN"/>
        </w:rPr>
        <w:t>合法</w:t>
      </w:r>
      <w:r>
        <w:rPr>
          <w:rFonts w:hint="eastAsia" w:ascii="仿宋_GB2312" w:hAnsi="仿宋_GB2312" w:eastAsia="仿宋_GB2312" w:cs="仿宋_GB2312"/>
          <w:color w:val="auto"/>
          <w:sz w:val="32"/>
          <w:szCs w:val="32"/>
        </w:rPr>
        <w:t>利益。</w:t>
      </w:r>
    </w:p>
    <w:p w14:paraId="3F4CA3E0">
      <w:pPr>
        <w:keepNext w:val="0"/>
        <w:keepLines w:val="0"/>
        <w:pageBreakBefore w:val="0"/>
        <w:widowControl w:val="0"/>
        <w:kinsoku/>
        <w:wordWrap/>
        <w:overflowPunct/>
        <w:topLinePunct w:val="0"/>
        <w:autoSpaceDE/>
        <w:autoSpaceDN/>
        <w:bidi w:val="0"/>
        <w:adjustRightInd/>
        <w:snapToGrid/>
        <w:spacing w:line="550" w:lineRule="exact"/>
        <w:ind w:firstLine="645"/>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第二十四条</w:t>
      </w:r>
      <w:r>
        <w:rPr>
          <w:rFonts w:hint="eastAsia" w:ascii="仿宋_GB2312" w:hAnsi="仿宋_GB2312" w:eastAsia="仿宋_GB2312" w:cs="仿宋_GB2312"/>
          <w:color w:val="auto"/>
          <w:sz w:val="32"/>
          <w:szCs w:val="32"/>
        </w:rPr>
        <w:t xml:space="preserve">  业主需要装饰装修房屋的，应当事先告知物业服务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。业主可以自行或者委托物业服务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清运装修期间产生的垃圾，委托物业服务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清运装修垃圾的收费标准由双方按装修合同协商约定执行，装修垃圾清运费属一次性收费。因装修造成共用部位、共用设施设备等损坏的，恢复、维修费用按照实际发生额，由业主或者装修单位承担，并承担相关责任。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不得向业主收取装修保证金、砸墙费等费用。</w:t>
      </w:r>
    </w:p>
    <w:p w14:paraId="01A99957">
      <w:pPr>
        <w:keepNext w:val="0"/>
        <w:keepLines w:val="0"/>
        <w:pageBreakBefore w:val="0"/>
        <w:widowControl w:val="0"/>
        <w:kinsoku/>
        <w:wordWrap/>
        <w:overflowPunct/>
        <w:topLinePunct w:val="0"/>
        <w:autoSpaceDE/>
        <w:autoSpaceDN/>
        <w:bidi w:val="0"/>
        <w:adjustRightInd/>
        <w:snapToGrid/>
        <w:spacing w:line="550" w:lineRule="exact"/>
        <w:ind w:firstLine="645"/>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第二十五条</w:t>
      </w:r>
      <w:r>
        <w:rPr>
          <w:rFonts w:hint="eastAsia" w:ascii="仿宋_GB2312" w:hAnsi="仿宋_GB2312" w:eastAsia="仿宋_GB2312" w:cs="仿宋_GB2312"/>
          <w:color w:val="auto"/>
          <w:sz w:val="32"/>
          <w:szCs w:val="32"/>
        </w:rPr>
        <w:t xml:space="preserve">  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应当在物业管理区域内显著位置公示承接本小区物业的承接查验报告，以及共用部位、共用设施设备分布图，明确车位权属，便于业主查询。</w:t>
      </w:r>
    </w:p>
    <w:p w14:paraId="288F3E6D">
      <w:pPr>
        <w:keepNext w:val="0"/>
        <w:keepLines w:val="0"/>
        <w:pageBreakBefore w:val="0"/>
        <w:widowControl w:val="0"/>
        <w:kinsoku/>
        <w:wordWrap/>
        <w:overflowPunct/>
        <w:topLinePunct w:val="0"/>
        <w:autoSpaceDE/>
        <w:autoSpaceDN/>
        <w:bidi w:val="0"/>
        <w:adjustRightInd/>
        <w:snapToGrid/>
        <w:spacing w:line="550" w:lineRule="exact"/>
        <w:ind w:firstLine="645"/>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第二十六条</w:t>
      </w:r>
      <w:r>
        <w:rPr>
          <w:rFonts w:hint="eastAsia" w:ascii="仿宋_GB2312" w:hAnsi="仿宋_GB2312" w:eastAsia="仿宋_GB2312" w:cs="仿宋_GB2312"/>
          <w:color w:val="auto"/>
          <w:sz w:val="32"/>
          <w:szCs w:val="32"/>
        </w:rPr>
        <w:t xml:space="preserve">  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应按照有关规定实行明码标价，</w:t>
      </w:r>
      <w:r>
        <w:rPr>
          <w:rFonts w:hint="eastAsia" w:ascii="仿宋_GB2312" w:hAnsi="仿宋_GB2312" w:eastAsia="仿宋_GB2312" w:cs="仿宋_GB2312"/>
          <w:color w:val="auto"/>
          <w:sz w:val="32"/>
          <w:szCs w:val="32"/>
          <w:lang w:eastAsia="zh-CN"/>
        </w:rPr>
        <w:t>并</w:t>
      </w:r>
      <w:r>
        <w:rPr>
          <w:rFonts w:hint="eastAsia" w:ascii="仿宋_GB2312" w:hAnsi="仿宋_GB2312" w:eastAsia="仿宋_GB2312" w:cs="仿宋_GB2312"/>
          <w:color w:val="auto"/>
          <w:sz w:val="32"/>
          <w:szCs w:val="32"/>
        </w:rPr>
        <w:t>在物业管理区域内显著位置公示</w:t>
      </w:r>
      <w:r>
        <w:rPr>
          <w:rFonts w:hint="eastAsia" w:ascii="仿宋_GB2312" w:hAnsi="仿宋_GB2312" w:eastAsia="仿宋_GB2312" w:cs="仿宋_GB2312"/>
          <w:color w:val="auto"/>
          <w:sz w:val="32"/>
          <w:szCs w:val="32"/>
          <w:lang w:eastAsia="zh-CN"/>
        </w:rPr>
        <w:t>物业服务人</w:t>
      </w:r>
      <w:r>
        <w:rPr>
          <w:rFonts w:hint="eastAsia" w:ascii="仿宋_GB2312" w:hAnsi="仿宋_GB2312" w:eastAsia="仿宋_GB2312" w:cs="仿宋_GB2312"/>
          <w:color w:val="auto"/>
          <w:sz w:val="32"/>
          <w:szCs w:val="32"/>
        </w:rPr>
        <w:t>名称、服务项目、服务标准、收费标准、计费方式、收费依据、优惠减免政策、投诉举报电话以及行业主管部门监督电话等信息，自觉接受监督。</w:t>
      </w:r>
    </w:p>
    <w:p w14:paraId="5D34C1C6">
      <w:pPr>
        <w:keepNext w:val="0"/>
        <w:keepLines w:val="0"/>
        <w:pageBreakBefore w:val="0"/>
        <w:widowControl w:val="0"/>
        <w:kinsoku/>
        <w:wordWrap/>
        <w:overflowPunct/>
        <w:topLinePunct w:val="0"/>
        <w:autoSpaceDE/>
        <w:autoSpaceDN/>
        <w:bidi w:val="0"/>
        <w:adjustRightInd/>
        <w:snapToGrid/>
        <w:spacing w:line="550" w:lineRule="exact"/>
        <w:ind w:firstLine="645"/>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第二十七条</w:t>
      </w:r>
      <w:r>
        <w:rPr>
          <w:rFonts w:hint="eastAsia" w:ascii="仿宋_GB2312" w:hAnsi="仿宋_GB2312" w:eastAsia="仿宋_GB2312" w:cs="仿宋_GB2312"/>
          <w:color w:val="auto"/>
          <w:sz w:val="32"/>
          <w:szCs w:val="32"/>
        </w:rPr>
        <w:t xml:space="preserve">  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利用、占用共用部位、共用设施设备从事广告、出租等经营活动的，须遵守相关法律规定，所得收益在扣除合理成本之后归属全体业主所有，</w:t>
      </w:r>
      <w:r>
        <w:rPr>
          <w:rFonts w:hint="eastAsia" w:ascii="仿宋_GB2312" w:hAnsi="仿宋_GB2312" w:eastAsia="仿宋_GB2312" w:cs="仿宋_GB2312"/>
          <w:color w:val="auto"/>
          <w:sz w:val="32"/>
          <w:szCs w:val="32"/>
          <w:lang w:eastAsia="zh-CN"/>
        </w:rPr>
        <w:t>主要用于补充住宅专项维修资金，</w:t>
      </w:r>
      <w:r>
        <w:rPr>
          <w:rFonts w:hint="eastAsia" w:ascii="仿宋_GB2312" w:hAnsi="仿宋_GB2312" w:eastAsia="仿宋_GB2312" w:cs="仿宋_GB2312"/>
          <w:color w:val="auto"/>
          <w:sz w:val="32"/>
          <w:szCs w:val="32"/>
        </w:rPr>
        <w:t xml:space="preserve">也可以按照业主大会的决定使用。    </w:t>
      </w:r>
    </w:p>
    <w:p w14:paraId="2EC566CA">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shd w:val="clear" w:color="auto" w:fill="FFFFFF"/>
        </w:rPr>
      </w:pPr>
      <w:r>
        <w:rPr>
          <w:rFonts w:hint="eastAsia" w:ascii="黑体" w:hAnsi="黑体" w:eastAsia="黑体" w:cs="仿宋_GB2312"/>
          <w:bCs/>
          <w:color w:val="auto"/>
          <w:sz w:val="32"/>
          <w:szCs w:val="32"/>
        </w:rPr>
        <w:t>第二十八条</w:t>
      </w:r>
      <w:r>
        <w:rPr>
          <w:rFonts w:hint="eastAsia" w:ascii="仿宋_GB2312" w:hAnsi="仿宋_GB2312" w:eastAsia="仿宋_GB2312" w:cs="仿宋_GB2312"/>
          <w:color w:val="auto"/>
          <w:sz w:val="32"/>
          <w:szCs w:val="32"/>
        </w:rPr>
        <w:t xml:space="preserve">  住宅小区</w:t>
      </w:r>
      <w:r>
        <w:rPr>
          <w:rFonts w:hint="eastAsia" w:ascii="仿宋_GB2312" w:hAnsi="仿宋_GB2312" w:eastAsia="仿宋_GB2312" w:cs="仿宋_GB2312"/>
          <w:color w:val="auto"/>
          <w:sz w:val="32"/>
          <w:szCs w:val="32"/>
          <w:shd w:val="clear" w:color="auto" w:fill="FFFFFF"/>
        </w:rPr>
        <w:t>实行出入证（卡）管理的，建设单位或物业服务</w:t>
      </w:r>
      <w:r>
        <w:rPr>
          <w:rFonts w:hint="eastAsia" w:ascii="仿宋_GB2312" w:hAnsi="仿宋_GB2312" w:eastAsia="仿宋_GB2312" w:cs="仿宋_GB2312"/>
          <w:color w:val="auto"/>
          <w:sz w:val="32"/>
          <w:szCs w:val="32"/>
          <w:shd w:val="clear" w:color="auto" w:fill="FFFFFF"/>
          <w:lang w:eastAsia="zh-CN"/>
        </w:rPr>
        <w:t>人</w:t>
      </w:r>
      <w:r>
        <w:rPr>
          <w:rFonts w:hint="eastAsia" w:ascii="仿宋_GB2312" w:hAnsi="仿宋_GB2312" w:eastAsia="仿宋_GB2312" w:cs="仿宋_GB2312"/>
          <w:color w:val="auto"/>
          <w:sz w:val="32"/>
          <w:szCs w:val="32"/>
          <w:shd w:val="clear" w:color="auto" w:fill="FFFFFF"/>
        </w:rPr>
        <w:t>应当为业主首次免费配置不少于三张出入证（卡），业主另有需求申请办证（卡）的，物业服务</w:t>
      </w:r>
      <w:r>
        <w:rPr>
          <w:rFonts w:hint="eastAsia" w:ascii="仿宋_GB2312" w:hAnsi="仿宋_GB2312" w:eastAsia="仿宋_GB2312" w:cs="仿宋_GB2312"/>
          <w:color w:val="auto"/>
          <w:sz w:val="32"/>
          <w:szCs w:val="32"/>
          <w:shd w:val="clear" w:color="auto" w:fill="FFFFFF"/>
          <w:lang w:eastAsia="zh-CN"/>
        </w:rPr>
        <w:t>人</w:t>
      </w:r>
      <w:r>
        <w:rPr>
          <w:rFonts w:hint="eastAsia" w:ascii="仿宋_GB2312" w:hAnsi="仿宋_GB2312" w:eastAsia="仿宋_GB2312" w:cs="仿宋_GB2312"/>
          <w:color w:val="auto"/>
          <w:sz w:val="32"/>
          <w:szCs w:val="32"/>
          <w:shd w:val="clear" w:color="auto" w:fill="FFFFFF"/>
        </w:rPr>
        <w:t>可以按物业公示标准收取制作成本费用，不得盈利。对为业主或物业使用人提供维修安装与临时性服务的外</w:t>
      </w:r>
      <w:r>
        <w:rPr>
          <w:rFonts w:hint="eastAsia" w:ascii="仿宋_GB2312" w:hAnsi="仿宋_GB2312" w:eastAsia="仿宋_GB2312" w:cs="仿宋_GB2312"/>
          <w:color w:val="auto"/>
          <w:sz w:val="32"/>
          <w:szCs w:val="32"/>
          <w:shd w:val="clear" w:color="auto" w:fill="FFFFFF"/>
          <w:lang w:eastAsia="zh-CN"/>
        </w:rPr>
        <w:t>来</w:t>
      </w:r>
      <w:r>
        <w:rPr>
          <w:rFonts w:hint="eastAsia" w:ascii="仿宋_GB2312" w:hAnsi="仿宋_GB2312" w:eastAsia="仿宋_GB2312" w:cs="仿宋_GB2312"/>
          <w:color w:val="auto"/>
          <w:sz w:val="32"/>
          <w:szCs w:val="32"/>
          <w:shd w:val="clear" w:color="auto" w:fill="FFFFFF"/>
        </w:rPr>
        <w:t>人员，实行出入证（卡）管理的住宅小区物业服务</w:t>
      </w:r>
      <w:r>
        <w:rPr>
          <w:rFonts w:hint="eastAsia" w:ascii="仿宋_GB2312" w:hAnsi="仿宋_GB2312" w:eastAsia="仿宋_GB2312" w:cs="仿宋_GB2312"/>
          <w:color w:val="auto"/>
          <w:sz w:val="32"/>
          <w:szCs w:val="32"/>
          <w:shd w:val="clear" w:color="auto" w:fill="FFFFFF"/>
          <w:lang w:eastAsia="zh-CN"/>
        </w:rPr>
        <w:t>人</w:t>
      </w:r>
      <w:r>
        <w:rPr>
          <w:rFonts w:hint="eastAsia" w:ascii="仿宋_GB2312" w:hAnsi="仿宋_GB2312" w:eastAsia="仿宋_GB2312" w:cs="仿宋_GB2312"/>
          <w:color w:val="auto"/>
          <w:sz w:val="32"/>
          <w:szCs w:val="32"/>
          <w:shd w:val="clear" w:color="auto" w:fill="FFFFFF"/>
        </w:rPr>
        <w:t>可以按公示标准收取押金，并在退证（卡）时全额退还。</w:t>
      </w:r>
    </w:p>
    <w:p w14:paraId="0FDE4D11">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第二十九条</w:t>
      </w:r>
      <w:r>
        <w:rPr>
          <w:rFonts w:hint="eastAsia" w:ascii="仿宋_GB2312" w:hAnsi="仿宋_GB2312" w:eastAsia="仿宋_GB2312" w:cs="仿宋_GB2312"/>
          <w:color w:val="auto"/>
          <w:sz w:val="32"/>
          <w:szCs w:val="32"/>
        </w:rPr>
        <w:t xml:space="preserve">  物业服务</w:t>
      </w:r>
      <w:r>
        <w:rPr>
          <w:rFonts w:hint="eastAsia" w:ascii="仿宋_GB2312" w:hAnsi="仿宋_GB2312" w:eastAsia="仿宋_GB2312" w:cs="仿宋_GB2312"/>
          <w:color w:val="auto"/>
          <w:sz w:val="32"/>
          <w:szCs w:val="32"/>
          <w:lang w:eastAsia="zh-CN"/>
        </w:rPr>
        <w:t>人要</w:t>
      </w:r>
      <w:r>
        <w:rPr>
          <w:rFonts w:hint="eastAsia" w:ascii="仿宋_GB2312" w:hAnsi="仿宋_GB2312" w:eastAsia="仿宋_GB2312" w:cs="仿宋_GB2312"/>
          <w:color w:val="auto"/>
          <w:sz w:val="32"/>
          <w:szCs w:val="32"/>
        </w:rPr>
        <w:t>在每年第一季度将上一年度物业服务合同履行情况、归属业主收益等情况在物业管理区域内显著位置据实公示，公示时间不得少于一个月。业主有权查阅、抄录或者复制所有归属全体业主收益的相关财务资料，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应当提供便利。鼓励物业服务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向全体业主公开物业服务费和停车服务费收入以及成本费用（构成）支出明细。</w:t>
      </w:r>
    </w:p>
    <w:p w14:paraId="77D8A484">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eastAsia" w:ascii="仿宋_GB2312" w:hAnsi="仿宋_GB2312" w:eastAsia="仿宋_GB2312" w:cs="仿宋_GB2312"/>
          <w:color w:val="auto"/>
          <w:sz w:val="32"/>
          <w:szCs w:val="32"/>
          <w:u w:val="none"/>
          <w:lang w:eastAsia="zh-CN"/>
        </w:rPr>
      </w:pPr>
      <w:r>
        <w:rPr>
          <w:rFonts w:hint="eastAsia" w:ascii="黑体" w:hAnsi="黑体" w:eastAsia="黑体" w:cs="仿宋_GB2312"/>
          <w:bCs/>
          <w:color w:val="auto"/>
          <w:sz w:val="32"/>
          <w:szCs w:val="32"/>
        </w:rPr>
        <w:t>第三十条</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u w:val="none"/>
          <w:lang w:eastAsia="zh-CN"/>
        </w:rPr>
        <w:t>业主应当按照合同约定向物业服务人支付物业服务费。物业服务人已经按照合同约定和有关规定提供服务的，业主不得以未接受或者无需接受相关物业服务为由拒绝支付物业服务费。</w:t>
      </w:r>
    </w:p>
    <w:p w14:paraId="7B0D518C">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业主违反约定逾期不支付物业服务费的，物业服务人可以催告其在合理期限内支付；合理期限届满仍不支付的，物业服务人可以提起诉讼或者申请仲裁。</w:t>
      </w:r>
    </w:p>
    <w:p w14:paraId="495A6D53">
      <w:pPr>
        <w:keepNext w:val="0"/>
        <w:keepLines w:val="0"/>
        <w:pageBreakBefore w:val="0"/>
        <w:widowControl w:val="0"/>
        <w:kinsoku/>
        <w:wordWrap/>
        <w:overflowPunct/>
        <w:topLinePunct w:val="0"/>
        <w:autoSpaceDE/>
        <w:autoSpaceDN/>
        <w:bidi w:val="0"/>
        <w:adjustRightInd/>
        <w:snapToGrid/>
        <w:spacing w:line="550" w:lineRule="exact"/>
        <w:ind w:firstLine="640"/>
        <w:textAlignment w:val="auto"/>
        <w:rPr>
          <w:rFonts w:hint="eastAsia" w:ascii="仿宋_GB2312" w:hAnsi="仿宋_GB2312" w:eastAsia="仿宋_GB2312" w:cs="仿宋_GB2312"/>
          <w:color w:val="auto"/>
          <w:sz w:val="32"/>
          <w:szCs w:val="32"/>
          <w:u w:val="none"/>
          <w:lang w:eastAsia="zh-CN"/>
        </w:rPr>
      </w:pPr>
      <w:r>
        <w:rPr>
          <w:rFonts w:hint="eastAsia" w:ascii="仿宋_GB2312" w:hAnsi="仿宋_GB2312" w:eastAsia="仿宋_GB2312" w:cs="仿宋_GB2312"/>
          <w:color w:val="auto"/>
          <w:sz w:val="32"/>
          <w:szCs w:val="32"/>
          <w:u w:val="none"/>
          <w:lang w:eastAsia="zh-CN"/>
        </w:rPr>
        <w:t>物业服务人不得采取停止供电、供水、供热、供气等方式催交物业服务费。</w:t>
      </w:r>
    </w:p>
    <w:p w14:paraId="61700D37">
      <w:pPr>
        <w:keepNext w:val="0"/>
        <w:keepLines w:val="0"/>
        <w:pageBreakBefore w:val="0"/>
        <w:widowControl w:val="0"/>
        <w:kinsoku/>
        <w:wordWrap/>
        <w:overflowPunct/>
        <w:topLinePunct w:val="0"/>
        <w:autoSpaceDE/>
        <w:autoSpaceDN/>
        <w:bidi w:val="0"/>
        <w:adjustRightInd/>
        <w:snapToGrid/>
        <w:spacing w:line="550" w:lineRule="exact"/>
        <w:ind w:firstLine="645"/>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业主与使用人约定由使用人交纳物业服务费等费用的，从其约定，业主负连带交纳责任。物业发生产权转移时，业主或者使用人应当结清物业服务费等费用。</w:t>
      </w:r>
    </w:p>
    <w:p w14:paraId="7628D58F">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第三十一条</w:t>
      </w:r>
      <w:r>
        <w:rPr>
          <w:rFonts w:hint="eastAsia" w:ascii="仿宋_GB2312" w:hAnsi="仿宋_GB2312" w:eastAsia="仿宋_GB2312" w:cs="仿宋_GB2312"/>
          <w:color w:val="auto"/>
          <w:sz w:val="32"/>
          <w:szCs w:val="32"/>
        </w:rPr>
        <w:t xml:space="preserve">  自备供暖（冷）的小区，其</w:t>
      </w:r>
      <w:r>
        <w:rPr>
          <w:rFonts w:hint="eastAsia" w:ascii="仿宋_GB2312" w:hAnsi="仿宋_GB2312" w:eastAsia="仿宋_GB2312" w:cs="仿宋_GB2312"/>
          <w:color w:val="auto"/>
          <w:sz w:val="32"/>
          <w:szCs w:val="32"/>
          <w:lang w:eastAsia="zh-CN"/>
        </w:rPr>
        <w:t>供</w:t>
      </w:r>
      <w:r>
        <w:rPr>
          <w:rFonts w:hint="eastAsia" w:ascii="仿宋_GB2312" w:hAnsi="仿宋_GB2312" w:eastAsia="仿宋_GB2312" w:cs="仿宋_GB2312"/>
          <w:color w:val="auto"/>
          <w:sz w:val="32"/>
          <w:szCs w:val="32"/>
        </w:rPr>
        <w:t>暖（冷）费由物业服务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或者专营单位提出收费方案（政府对供暖补贴的方案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以及对</w:t>
      </w:r>
      <w:r>
        <w:rPr>
          <w:rFonts w:hint="eastAsia" w:ascii="仿宋_GB2312" w:hAnsi="仿宋_GB2312" w:eastAsia="仿宋_GB2312" w:cs="仿宋_GB2312"/>
          <w:color w:val="auto"/>
          <w:sz w:val="32"/>
          <w:szCs w:val="32"/>
          <w:lang w:eastAsia="zh-CN"/>
        </w:rPr>
        <w:t>供</w:t>
      </w:r>
      <w:r>
        <w:rPr>
          <w:rFonts w:hint="eastAsia" w:ascii="仿宋_GB2312" w:hAnsi="仿宋_GB2312" w:eastAsia="仿宋_GB2312" w:cs="仿宋_GB2312"/>
          <w:color w:val="auto"/>
          <w:sz w:val="32"/>
          <w:szCs w:val="32"/>
        </w:rPr>
        <w:t>暖空置房屋的减免优惠标准应当包括在收费方案内），必须经业主大会或者</w:t>
      </w:r>
      <w:r>
        <w:rPr>
          <w:rFonts w:hint="eastAsia" w:ascii="仿宋_GB2312" w:hAnsi="仿宋_GB2312" w:eastAsia="仿宋_GB2312" w:cs="仿宋_GB2312"/>
          <w:color w:val="auto"/>
          <w:kern w:val="0"/>
          <w:sz w:val="32"/>
          <w:szCs w:val="32"/>
        </w:rPr>
        <w:t>由专有部分面积占比三分之二以上的业主且人数占比三分之二以上的业主参与表决，</w:t>
      </w:r>
      <w:r>
        <w:rPr>
          <w:rFonts w:hint="eastAsia" w:ascii="仿宋_GB2312" w:hAnsi="仿宋_GB2312" w:eastAsia="仿宋_GB2312" w:cs="仿宋_GB2312"/>
          <w:color w:val="auto"/>
          <w:kern w:val="0"/>
          <w:sz w:val="32"/>
          <w:szCs w:val="32"/>
          <w:lang w:eastAsia="zh-CN"/>
        </w:rPr>
        <w:t>并</w:t>
      </w:r>
      <w:r>
        <w:rPr>
          <w:rFonts w:hint="eastAsia" w:ascii="仿宋_GB2312" w:hAnsi="仿宋_GB2312" w:eastAsia="仿宋_GB2312" w:cs="仿宋_GB2312"/>
          <w:color w:val="auto"/>
          <w:kern w:val="0"/>
          <w:sz w:val="32"/>
          <w:szCs w:val="32"/>
        </w:rPr>
        <w:t>经参与表决专有部分面积过半数的业主且参与表决人数过半数的业主</w:t>
      </w:r>
      <w:r>
        <w:rPr>
          <w:rFonts w:hint="eastAsia" w:ascii="仿宋_GB2312" w:hAnsi="仿宋_GB2312" w:eastAsia="仿宋_GB2312" w:cs="仿宋_GB2312"/>
          <w:color w:val="auto"/>
          <w:sz w:val="32"/>
          <w:szCs w:val="32"/>
        </w:rPr>
        <w:t>（以下简称“参与表决双过半业主”）同意后据实收取。</w:t>
      </w:r>
      <w:r>
        <w:rPr>
          <w:rFonts w:hint="eastAsia" w:ascii="仿宋_GB2312" w:hAnsi="仿宋_GB2312" w:eastAsia="仿宋_GB2312" w:cs="仿宋_GB2312"/>
          <w:color w:val="auto"/>
          <w:sz w:val="32"/>
          <w:szCs w:val="32"/>
          <w:lang w:eastAsia="zh-CN"/>
        </w:rPr>
        <w:t>供</w:t>
      </w:r>
      <w:r>
        <w:rPr>
          <w:rFonts w:hint="eastAsia" w:ascii="仿宋_GB2312" w:hAnsi="仿宋_GB2312" w:eastAsia="仿宋_GB2312" w:cs="仿宋_GB2312"/>
          <w:color w:val="auto"/>
          <w:sz w:val="32"/>
          <w:szCs w:val="32"/>
        </w:rPr>
        <w:t>暖（冷）期结束后，供</w:t>
      </w:r>
      <w:r>
        <w:rPr>
          <w:rFonts w:hint="eastAsia" w:ascii="仿宋_GB2312" w:hAnsi="仿宋_GB2312" w:eastAsia="仿宋_GB2312" w:cs="仿宋_GB2312"/>
          <w:color w:val="auto"/>
          <w:sz w:val="32"/>
          <w:szCs w:val="32"/>
          <w:u w:val="none"/>
          <w:lang w:eastAsia="zh-CN"/>
        </w:rPr>
        <w:t>暖</w:t>
      </w:r>
      <w:r>
        <w:rPr>
          <w:rFonts w:hint="eastAsia" w:ascii="仿宋_GB2312" w:hAnsi="仿宋_GB2312" w:eastAsia="仿宋_GB2312" w:cs="仿宋_GB2312"/>
          <w:color w:val="auto"/>
          <w:sz w:val="32"/>
          <w:szCs w:val="32"/>
          <w:u w:val="none"/>
        </w:rPr>
        <w:t>（冷）</w:t>
      </w:r>
      <w:r>
        <w:rPr>
          <w:rFonts w:hint="eastAsia" w:ascii="仿宋_GB2312" w:hAnsi="仿宋_GB2312" w:eastAsia="仿宋_GB2312" w:cs="仿宋_GB2312"/>
          <w:color w:val="auto"/>
          <w:sz w:val="32"/>
          <w:szCs w:val="32"/>
        </w:rPr>
        <w:t>单位应在两个月内向全体业主公布收支情况。</w:t>
      </w:r>
    </w:p>
    <w:p w14:paraId="58F481AB">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u w:val="none"/>
        </w:rPr>
      </w:pPr>
      <w:r>
        <w:rPr>
          <w:rFonts w:hint="eastAsia" w:ascii="仿宋_GB2312" w:hAnsi="仿宋_GB2312" w:eastAsia="仿宋_GB2312" w:cs="仿宋_GB2312"/>
          <w:color w:val="auto"/>
          <w:sz w:val="32"/>
          <w:szCs w:val="32"/>
          <w:u w:val="none"/>
        </w:rPr>
        <w:t>供</w:t>
      </w:r>
      <w:r>
        <w:rPr>
          <w:rFonts w:hint="eastAsia" w:ascii="仿宋_GB2312" w:hAnsi="仿宋_GB2312" w:eastAsia="仿宋_GB2312" w:cs="仿宋_GB2312"/>
          <w:color w:val="auto"/>
          <w:sz w:val="32"/>
          <w:szCs w:val="32"/>
          <w:u w:val="none"/>
          <w:lang w:eastAsia="zh-CN"/>
        </w:rPr>
        <w:t>暖</w:t>
      </w:r>
      <w:r>
        <w:rPr>
          <w:rFonts w:hint="eastAsia" w:ascii="仿宋_GB2312" w:hAnsi="仿宋_GB2312" w:eastAsia="仿宋_GB2312" w:cs="仿宋_GB2312"/>
          <w:color w:val="auto"/>
          <w:sz w:val="32"/>
          <w:szCs w:val="32"/>
          <w:u w:val="none"/>
        </w:rPr>
        <w:t>（冷）单位与用</w:t>
      </w:r>
      <w:r>
        <w:rPr>
          <w:rFonts w:hint="eastAsia" w:ascii="仿宋_GB2312" w:hAnsi="仿宋_GB2312" w:eastAsia="仿宋_GB2312" w:cs="仿宋_GB2312"/>
          <w:color w:val="auto"/>
          <w:sz w:val="32"/>
          <w:szCs w:val="32"/>
          <w:u w:val="none"/>
          <w:lang w:eastAsia="zh-CN"/>
        </w:rPr>
        <w:t>暖</w:t>
      </w:r>
      <w:r>
        <w:rPr>
          <w:rFonts w:hint="eastAsia" w:ascii="仿宋_GB2312" w:hAnsi="仿宋_GB2312" w:eastAsia="仿宋_GB2312" w:cs="仿宋_GB2312"/>
          <w:color w:val="auto"/>
          <w:sz w:val="32"/>
          <w:szCs w:val="32"/>
          <w:u w:val="none"/>
        </w:rPr>
        <w:t>（冷）人双方就</w:t>
      </w:r>
      <w:r>
        <w:rPr>
          <w:rFonts w:hint="eastAsia" w:ascii="仿宋_GB2312" w:hAnsi="仿宋_GB2312" w:eastAsia="仿宋_GB2312" w:cs="仿宋_GB2312"/>
          <w:color w:val="auto"/>
          <w:sz w:val="32"/>
          <w:szCs w:val="32"/>
          <w:u w:val="none"/>
          <w:lang w:eastAsia="zh-CN"/>
        </w:rPr>
        <w:t>供暖</w:t>
      </w:r>
      <w:r>
        <w:rPr>
          <w:rFonts w:hint="eastAsia" w:ascii="仿宋_GB2312" w:hAnsi="仿宋_GB2312" w:eastAsia="仿宋_GB2312" w:cs="仿宋_GB2312"/>
          <w:color w:val="auto"/>
          <w:sz w:val="32"/>
          <w:szCs w:val="32"/>
          <w:u w:val="none"/>
        </w:rPr>
        <w:t>（冷）</w:t>
      </w:r>
      <w:r>
        <w:rPr>
          <w:rFonts w:hint="eastAsia" w:ascii="仿宋_GB2312" w:hAnsi="仿宋_GB2312" w:eastAsia="仿宋_GB2312" w:cs="仿宋_GB2312"/>
          <w:color w:val="auto"/>
          <w:sz w:val="32"/>
          <w:szCs w:val="32"/>
          <w:u w:val="none"/>
          <w:lang w:eastAsia="zh-CN"/>
        </w:rPr>
        <w:t>费</w:t>
      </w:r>
      <w:r>
        <w:rPr>
          <w:rFonts w:hint="eastAsia" w:ascii="仿宋_GB2312" w:hAnsi="仿宋_GB2312" w:eastAsia="仿宋_GB2312" w:cs="仿宋_GB2312"/>
          <w:color w:val="auto"/>
          <w:sz w:val="32"/>
          <w:szCs w:val="32"/>
          <w:u w:val="none"/>
        </w:rPr>
        <w:t>不能协商一致时，可以要求居民小区所在地街道办事处或者乡镇人民政府调解</w:t>
      </w:r>
      <w:r>
        <w:rPr>
          <w:rFonts w:hint="eastAsia" w:ascii="仿宋_GB2312" w:hAnsi="仿宋_GB2312" w:eastAsia="仿宋_GB2312" w:cs="仿宋_GB2312"/>
          <w:color w:val="auto"/>
          <w:sz w:val="32"/>
          <w:szCs w:val="32"/>
          <w:u w:val="none"/>
          <w:lang w:val="en-US" w:eastAsia="zh-CN"/>
        </w:rPr>
        <w:t>。</w:t>
      </w:r>
      <w:r>
        <w:rPr>
          <w:rFonts w:hint="eastAsia" w:ascii="仿宋_GB2312" w:hAnsi="仿宋_GB2312" w:eastAsia="仿宋_GB2312" w:cs="仿宋_GB2312"/>
          <w:color w:val="auto"/>
          <w:sz w:val="32"/>
          <w:szCs w:val="32"/>
          <w:u w:val="none"/>
        </w:rPr>
        <w:t>必要时，可委托第三方专业机构评估，为双方协商确定</w:t>
      </w:r>
      <w:r>
        <w:rPr>
          <w:rFonts w:hint="eastAsia" w:ascii="仿宋_GB2312" w:hAnsi="仿宋_GB2312" w:eastAsia="仿宋_GB2312" w:cs="仿宋_GB2312"/>
          <w:color w:val="auto"/>
          <w:sz w:val="32"/>
          <w:szCs w:val="32"/>
          <w:u w:val="none"/>
          <w:lang w:eastAsia="zh-CN"/>
        </w:rPr>
        <w:t>供暖</w:t>
      </w:r>
      <w:r>
        <w:rPr>
          <w:rFonts w:hint="eastAsia" w:ascii="仿宋_GB2312" w:hAnsi="仿宋_GB2312" w:eastAsia="仿宋_GB2312" w:cs="仿宋_GB2312"/>
          <w:color w:val="auto"/>
          <w:sz w:val="32"/>
          <w:szCs w:val="32"/>
          <w:u w:val="none"/>
        </w:rPr>
        <w:t>（冷）</w:t>
      </w:r>
      <w:r>
        <w:rPr>
          <w:rFonts w:hint="eastAsia" w:ascii="仿宋_GB2312" w:hAnsi="仿宋_GB2312" w:eastAsia="仿宋_GB2312" w:cs="仿宋_GB2312"/>
          <w:color w:val="auto"/>
          <w:sz w:val="32"/>
          <w:szCs w:val="32"/>
          <w:u w:val="none"/>
          <w:lang w:eastAsia="zh-CN"/>
        </w:rPr>
        <w:t>费</w:t>
      </w:r>
      <w:r>
        <w:rPr>
          <w:rFonts w:hint="eastAsia" w:ascii="仿宋_GB2312" w:hAnsi="仿宋_GB2312" w:eastAsia="仿宋_GB2312" w:cs="仿宋_GB2312"/>
          <w:color w:val="auto"/>
          <w:sz w:val="32"/>
          <w:szCs w:val="32"/>
          <w:u w:val="none"/>
        </w:rPr>
        <w:t>提供参考依据。</w:t>
      </w:r>
    </w:p>
    <w:p w14:paraId="1F048B9C">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黑体" w:hAnsi="黑体" w:eastAsia="黑体" w:cs="仿宋_GB2312"/>
          <w:bCs/>
          <w:color w:val="auto"/>
          <w:sz w:val="32"/>
          <w:szCs w:val="32"/>
        </w:rPr>
        <w:t>第三十二条</w:t>
      </w:r>
      <w:r>
        <w:rPr>
          <w:rFonts w:hint="eastAsia" w:ascii="仿宋_GB2312" w:hAnsi="仿宋_GB2312" w:eastAsia="仿宋_GB2312" w:cs="仿宋_GB2312"/>
          <w:color w:val="auto"/>
          <w:sz w:val="32"/>
          <w:szCs w:val="32"/>
        </w:rPr>
        <w:t xml:space="preserve">  实行政府指导价</w:t>
      </w:r>
      <w:r>
        <w:rPr>
          <w:rFonts w:hint="eastAsia" w:ascii="仿宋_GB2312" w:hAnsi="仿宋_GB2312" w:eastAsia="仿宋_GB2312" w:cs="仿宋_GB2312"/>
          <w:color w:val="auto"/>
          <w:sz w:val="32"/>
          <w:szCs w:val="32"/>
          <w:lang w:eastAsia="zh-CN"/>
        </w:rPr>
        <w:t>管理</w:t>
      </w:r>
      <w:r>
        <w:rPr>
          <w:rFonts w:hint="eastAsia" w:ascii="仿宋_GB2312" w:hAnsi="仿宋_GB2312" w:eastAsia="仿宋_GB2312" w:cs="仿宋_GB2312"/>
          <w:color w:val="auto"/>
          <w:sz w:val="32"/>
          <w:szCs w:val="32"/>
        </w:rPr>
        <w:t>的住宅小区，物业服务</w:t>
      </w:r>
      <w:r>
        <w:rPr>
          <w:rFonts w:hint="eastAsia" w:ascii="仿宋_GB2312" w:hAnsi="仿宋_GB2312" w:eastAsia="仿宋_GB2312" w:cs="仿宋_GB2312"/>
          <w:color w:val="auto"/>
          <w:sz w:val="32"/>
          <w:szCs w:val="32"/>
          <w:lang w:eastAsia="zh-CN"/>
        </w:rPr>
        <w:t>人</w:t>
      </w:r>
      <w:r>
        <w:rPr>
          <w:rFonts w:hint="eastAsia" w:ascii="仿宋_GB2312" w:hAnsi="仿宋_GB2312" w:eastAsia="仿宋_GB2312" w:cs="仿宋_GB2312"/>
          <w:color w:val="auto"/>
          <w:sz w:val="32"/>
          <w:szCs w:val="32"/>
        </w:rPr>
        <w:t>在物业服务合同履行期间不得擅自调整物业服务收费标准。确需调整的，</w:t>
      </w:r>
      <w:r>
        <w:rPr>
          <w:rFonts w:hint="eastAsia" w:ascii="仿宋_GB2312" w:hAnsi="仿宋_GB2312" w:eastAsia="仿宋_GB2312" w:cs="仿宋_GB2312"/>
          <w:color w:val="auto"/>
          <w:sz w:val="32"/>
          <w:szCs w:val="32"/>
          <w:lang w:eastAsia="zh-CN"/>
        </w:rPr>
        <w:t>物业服务人应当</w:t>
      </w:r>
      <w:r>
        <w:rPr>
          <w:rFonts w:hint="eastAsia" w:ascii="仿宋_GB2312" w:hAnsi="仿宋_GB2312" w:eastAsia="仿宋_GB2312" w:cs="仿宋_GB2312"/>
          <w:color w:val="auto"/>
          <w:sz w:val="32"/>
          <w:szCs w:val="32"/>
        </w:rPr>
        <w:t>按照物业服务</w:t>
      </w:r>
      <w:r>
        <w:rPr>
          <w:rFonts w:hint="eastAsia" w:ascii="仿宋_GB2312" w:hAnsi="仿宋_GB2312" w:eastAsia="仿宋_GB2312" w:cs="仿宋_GB2312"/>
          <w:color w:val="auto"/>
          <w:sz w:val="32"/>
          <w:szCs w:val="32"/>
          <w:lang w:eastAsia="zh-CN"/>
        </w:rPr>
        <w:t>指导</w:t>
      </w:r>
      <w:r>
        <w:rPr>
          <w:rFonts w:hint="eastAsia" w:ascii="仿宋_GB2312" w:hAnsi="仿宋_GB2312" w:eastAsia="仿宋_GB2312" w:cs="仿宋_GB2312"/>
          <w:color w:val="auto"/>
          <w:sz w:val="32"/>
          <w:szCs w:val="32"/>
        </w:rPr>
        <w:t>标准和物业服务</w:t>
      </w:r>
      <w:r>
        <w:rPr>
          <w:rFonts w:hint="eastAsia" w:ascii="仿宋_GB2312" w:hAnsi="仿宋_GB2312" w:eastAsia="仿宋_GB2312" w:cs="仿宋_GB2312"/>
          <w:color w:val="auto"/>
          <w:sz w:val="32"/>
          <w:szCs w:val="32"/>
          <w:lang w:eastAsia="zh-CN"/>
        </w:rPr>
        <w:t>收费</w:t>
      </w:r>
      <w:r>
        <w:rPr>
          <w:rFonts w:hint="eastAsia" w:ascii="仿宋_GB2312" w:hAnsi="仿宋_GB2312" w:eastAsia="仿宋_GB2312" w:cs="仿宋_GB2312"/>
          <w:color w:val="auto"/>
          <w:sz w:val="32"/>
          <w:szCs w:val="32"/>
        </w:rPr>
        <w:t>标</w:t>
      </w:r>
      <w:r>
        <w:rPr>
          <w:rFonts w:hint="eastAsia" w:ascii="仿宋_GB2312" w:hAnsi="仿宋_GB2312" w:eastAsia="仿宋_GB2312" w:cs="仿宋_GB2312"/>
          <w:b w:val="0"/>
          <w:bCs w:val="0"/>
          <w:color w:val="auto"/>
          <w:sz w:val="32"/>
          <w:szCs w:val="32"/>
        </w:rPr>
        <w:t>准，</w:t>
      </w:r>
      <w:r>
        <w:rPr>
          <w:rFonts w:hint="eastAsia" w:ascii="仿宋_GB2312" w:hAnsi="仿宋_GB2312" w:eastAsia="仿宋_GB2312" w:cs="仿宋_GB2312"/>
          <w:color w:val="auto"/>
          <w:sz w:val="32"/>
          <w:szCs w:val="32"/>
        </w:rPr>
        <w:t>公开真实、完整、有效的相关信息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在物业管理区域内显著位置公示服务成本变动情况和拟调价方案，就调价方案与业主协商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并经“参与表决双过半业主”同意后，形成业主共同决定，在政府指导价范围内实施调整并约定执行。</w:t>
      </w:r>
      <w:r>
        <w:rPr>
          <w:rFonts w:hint="eastAsia" w:ascii="仿宋_GB2312" w:hAnsi="仿宋_GB2312" w:eastAsia="仿宋_GB2312" w:cs="仿宋_GB2312"/>
          <w:color w:val="auto"/>
          <w:sz w:val="32"/>
          <w:szCs w:val="32"/>
          <w:lang w:eastAsia="zh-CN"/>
        </w:rPr>
        <w:t>新签订的</w:t>
      </w:r>
      <w:r>
        <w:rPr>
          <w:rFonts w:hint="eastAsia" w:ascii="仿宋_GB2312" w:hAnsi="仿宋_GB2312" w:eastAsia="仿宋_GB2312" w:cs="仿宋_GB2312"/>
          <w:color w:val="auto"/>
          <w:sz w:val="32"/>
          <w:szCs w:val="32"/>
        </w:rPr>
        <w:t>物业服务</w:t>
      </w:r>
      <w:r>
        <w:rPr>
          <w:rFonts w:hint="eastAsia" w:ascii="仿宋_GB2312" w:hAnsi="仿宋_GB2312" w:eastAsia="仿宋_GB2312" w:cs="仿宋_GB2312"/>
          <w:color w:val="auto"/>
          <w:sz w:val="32"/>
          <w:szCs w:val="32"/>
          <w:lang w:eastAsia="zh-CN"/>
        </w:rPr>
        <w:t>合同向</w:t>
      </w:r>
      <w:r>
        <w:rPr>
          <w:rFonts w:hint="eastAsia" w:ascii="仿宋_GB2312" w:hAnsi="仿宋_GB2312" w:eastAsia="仿宋_GB2312" w:cs="仿宋_GB2312"/>
          <w:color w:val="auto"/>
          <w:sz w:val="32"/>
          <w:szCs w:val="32"/>
        </w:rPr>
        <w:t>物业项目所在地住房和城乡建设部门备案</w:t>
      </w:r>
      <w:r>
        <w:rPr>
          <w:rFonts w:hint="eastAsia" w:ascii="仿宋_GB2312" w:hAnsi="仿宋_GB2312" w:eastAsia="仿宋_GB2312" w:cs="仿宋_GB2312"/>
          <w:color w:val="auto"/>
          <w:sz w:val="32"/>
          <w:szCs w:val="32"/>
          <w:lang w:eastAsia="zh-CN"/>
        </w:rPr>
        <w:t>后，收费标准抄送同级发展改革部门、市场监督管理部门。街道办（乡镇政府）依法做好辖区内物业管理活动的监督管理工作。</w:t>
      </w:r>
    </w:p>
    <w:p w14:paraId="0F18A679">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rPr>
      </w:pPr>
      <w:r>
        <w:rPr>
          <w:rFonts w:hint="eastAsia" w:ascii="黑体" w:hAnsi="黑体" w:eastAsia="黑体" w:cs="仿宋_GB2312"/>
          <w:bCs/>
          <w:color w:val="auto"/>
          <w:sz w:val="32"/>
          <w:szCs w:val="32"/>
        </w:rPr>
        <w:t>第三十三条</w:t>
      </w:r>
      <w:r>
        <w:rPr>
          <w:rFonts w:hint="eastAsia" w:ascii="仿宋_GB2312" w:hAnsi="仿宋_GB2312" w:eastAsia="仿宋_GB2312" w:cs="仿宋_GB2312"/>
          <w:color w:val="auto"/>
          <w:sz w:val="32"/>
          <w:szCs w:val="32"/>
        </w:rPr>
        <w:t xml:space="preserve">  各级发展改革部门、住房和城乡建设部门、市场监督管理部门要按照职责分工加强物业服务及收费行为的监督管理。</w:t>
      </w:r>
    </w:p>
    <w:p w14:paraId="1B20C9DC">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市、县发展改革部门要严格按照有关法律法规规章合理制定收费标准，并向社会公开征求意见，在充分吸纳合理意见后方可正式出台。</w:t>
      </w:r>
    </w:p>
    <w:p w14:paraId="0ED3D00C">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市、县（区）住房和城乡建设部门</w:t>
      </w:r>
      <w:r>
        <w:rPr>
          <w:rFonts w:hint="eastAsia" w:ascii="仿宋_GB2312" w:hAnsi="仿宋_GB2312" w:eastAsia="仿宋_GB2312" w:cs="仿宋_GB2312"/>
          <w:color w:val="auto"/>
          <w:sz w:val="32"/>
          <w:szCs w:val="32"/>
          <w:lang w:eastAsia="zh-CN"/>
        </w:rPr>
        <w:t>要宣传贯彻物业服务管理相关法律、法规和政策，</w:t>
      </w:r>
      <w:r>
        <w:rPr>
          <w:rFonts w:hint="eastAsia" w:ascii="仿宋_GB2312" w:hAnsi="仿宋_GB2312" w:eastAsia="仿宋_GB2312" w:cs="仿宋_GB2312"/>
          <w:color w:val="auto"/>
          <w:sz w:val="32"/>
          <w:szCs w:val="32"/>
        </w:rPr>
        <w:t>负责</w:t>
      </w:r>
      <w:r>
        <w:rPr>
          <w:rFonts w:hint="eastAsia" w:ascii="仿宋_GB2312" w:hAnsi="仿宋_GB2312" w:eastAsia="仿宋_GB2312" w:cs="仿宋_GB2312"/>
          <w:color w:val="auto"/>
          <w:sz w:val="32"/>
          <w:szCs w:val="32"/>
          <w:lang w:eastAsia="zh-CN"/>
        </w:rPr>
        <w:t>制定物业服务指导标准，</w:t>
      </w:r>
      <w:r>
        <w:rPr>
          <w:rFonts w:hint="eastAsia" w:ascii="仿宋_GB2312" w:hAnsi="仿宋_GB2312" w:eastAsia="仿宋_GB2312" w:cs="仿宋_GB2312"/>
          <w:color w:val="auto"/>
          <w:sz w:val="32"/>
          <w:szCs w:val="32"/>
        </w:rPr>
        <w:t>对住宅小区的物业服务质量进行监督管理，</w:t>
      </w:r>
      <w:r>
        <w:rPr>
          <w:rFonts w:hint="eastAsia" w:ascii="仿宋_GB2312" w:hAnsi="仿宋_GB2312" w:eastAsia="仿宋_GB2312" w:cs="仿宋_GB2312"/>
          <w:color w:val="auto"/>
          <w:sz w:val="32"/>
          <w:szCs w:val="32"/>
          <w:lang w:eastAsia="zh-CN"/>
        </w:rPr>
        <w:t>对不按合同约定提供服务或不按规定公示相关事项的物业服务人进行督促整改，</w:t>
      </w:r>
      <w:r>
        <w:rPr>
          <w:rFonts w:hint="eastAsia" w:ascii="仿宋_GB2312" w:hAnsi="仿宋_GB2312" w:eastAsia="仿宋_GB2312" w:cs="仿宋_GB2312"/>
          <w:color w:val="auto"/>
          <w:sz w:val="32"/>
          <w:szCs w:val="32"/>
        </w:rPr>
        <w:t>并建立守信联合激励和失信联合惩戒机制，加强物业服务行业诚信管理。</w:t>
      </w:r>
    </w:p>
    <w:p w14:paraId="1408A901">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各级市场监督管理部门负责对超过政府指导价标准收费、不实行明码标价等</w:t>
      </w:r>
      <w:r>
        <w:rPr>
          <w:rFonts w:hint="eastAsia" w:ascii="仿宋_GB2312" w:hAnsi="仿宋_GB2312" w:eastAsia="仿宋_GB2312" w:cs="仿宋_GB2312"/>
          <w:color w:val="auto"/>
          <w:sz w:val="32"/>
          <w:szCs w:val="32"/>
          <w:lang w:eastAsia="zh-CN"/>
        </w:rPr>
        <w:t>违法</w:t>
      </w:r>
      <w:r>
        <w:rPr>
          <w:rFonts w:hint="eastAsia" w:ascii="仿宋_GB2312" w:hAnsi="仿宋_GB2312" w:eastAsia="仿宋_GB2312" w:cs="仿宋_GB2312"/>
          <w:color w:val="auto"/>
          <w:sz w:val="32"/>
          <w:szCs w:val="32"/>
        </w:rPr>
        <w:t>行为，依据有关法律、法规严肃查处。</w:t>
      </w:r>
    </w:p>
    <w:p w14:paraId="019880E6">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color w:val="auto"/>
          <w:sz w:val="32"/>
          <w:szCs w:val="32"/>
        </w:rPr>
      </w:pPr>
    </w:p>
    <w:p w14:paraId="2F3D1452">
      <w:pPr>
        <w:keepNext w:val="0"/>
        <w:keepLines w:val="0"/>
        <w:pageBreakBefore w:val="0"/>
        <w:widowControl w:val="0"/>
        <w:kinsoku/>
        <w:wordWrap/>
        <w:overflowPunct/>
        <w:topLinePunct w:val="0"/>
        <w:autoSpaceDE/>
        <w:autoSpaceDN/>
        <w:bidi w:val="0"/>
        <w:adjustRightInd/>
        <w:snapToGrid/>
        <w:spacing w:line="550" w:lineRule="exact"/>
        <w:ind w:firstLine="640" w:firstLineChars="200"/>
        <w:textAlignment w:val="auto"/>
        <w:rPr>
          <w:rFonts w:hint="eastAsia" w:ascii="仿宋_GB2312" w:hAnsi="仿宋_GB2312" w:eastAsia="仿宋_GB2312" w:cs="仿宋_GB2312"/>
          <w:color w:val="auto"/>
          <w:sz w:val="32"/>
          <w:szCs w:val="32"/>
        </w:rPr>
      </w:pPr>
    </w:p>
    <w:p w14:paraId="1CD1F670">
      <w:pPr>
        <w:keepNext w:val="0"/>
        <w:keepLines w:val="0"/>
        <w:pageBreakBefore w:val="0"/>
        <w:numPr>
          <w:ilvl w:val="0"/>
          <w:numId w:val="0"/>
        </w:numPr>
        <w:kinsoku/>
        <w:wordWrap/>
        <w:overflowPunct/>
        <w:topLinePunct w:val="0"/>
        <w:autoSpaceDE/>
        <w:autoSpaceDN/>
        <w:bidi w:val="0"/>
        <w:adjustRightInd/>
        <w:snapToGrid/>
        <w:spacing w:line="540" w:lineRule="exact"/>
        <w:jc w:val="both"/>
        <w:textAlignment w:val="auto"/>
        <w:outlineLvl w:val="0"/>
        <w:rPr>
          <w:rFonts w:hint="eastAsia" w:ascii="黑体" w:hAnsi="黑体" w:eastAsia="黑体" w:cs="仿宋_GB2312"/>
          <w:bCs/>
          <w:color w:val="auto"/>
          <w:sz w:val="32"/>
          <w:szCs w:val="32"/>
        </w:rPr>
      </w:pPr>
    </w:p>
    <w:p w14:paraId="7428EFB4">
      <w:pPr>
        <w:keepNext w:val="0"/>
        <w:keepLines w:val="0"/>
        <w:pageBreakBefore w:val="0"/>
        <w:numPr>
          <w:ilvl w:val="0"/>
          <w:numId w:val="0"/>
        </w:numPr>
        <w:kinsoku/>
        <w:wordWrap/>
        <w:overflowPunct/>
        <w:topLinePunct w:val="0"/>
        <w:autoSpaceDE/>
        <w:autoSpaceDN/>
        <w:bidi w:val="0"/>
        <w:adjustRightInd/>
        <w:snapToGrid/>
        <w:spacing w:line="540" w:lineRule="exact"/>
        <w:jc w:val="center"/>
        <w:textAlignment w:val="auto"/>
        <w:outlineLvl w:val="0"/>
        <w:rPr>
          <w:rFonts w:hint="eastAsia" w:ascii="黑体" w:hAnsi="黑体" w:eastAsia="黑体" w:cs="仿宋_GB2312"/>
          <w:bCs/>
          <w:color w:val="auto"/>
          <w:sz w:val="32"/>
          <w:szCs w:val="32"/>
          <w:lang w:eastAsia="zh-CN"/>
        </w:rPr>
      </w:pPr>
    </w:p>
    <w:p w14:paraId="2764F5B9">
      <w:pPr>
        <w:keepNext w:val="0"/>
        <w:keepLines w:val="0"/>
        <w:pageBreakBefore w:val="0"/>
        <w:numPr>
          <w:ilvl w:val="0"/>
          <w:numId w:val="0"/>
        </w:numPr>
        <w:kinsoku/>
        <w:wordWrap/>
        <w:overflowPunct/>
        <w:topLinePunct w:val="0"/>
        <w:autoSpaceDE/>
        <w:autoSpaceDN/>
        <w:bidi w:val="0"/>
        <w:adjustRightInd/>
        <w:snapToGrid/>
        <w:spacing w:line="540" w:lineRule="exact"/>
        <w:jc w:val="center"/>
        <w:textAlignment w:val="auto"/>
        <w:outlineLvl w:val="0"/>
        <w:rPr>
          <w:rFonts w:hint="eastAsia" w:ascii="黑体" w:hAnsi="黑体" w:eastAsia="黑体" w:cs="仿宋_GB2312"/>
          <w:bCs/>
          <w:color w:val="auto"/>
          <w:sz w:val="32"/>
          <w:szCs w:val="32"/>
        </w:rPr>
      </w:pPr>
      <w:r>
        <w:rPr>
          <w:rFonts w:hint="eastAsia" w:ascii="黑体" w:hAnsi="黑体" w:eastAsia="黑体" w:cs="仿宋_GB2312"/>
          <w:bCs/>
          <w:color w:val="auto"/>
          <w:sz w:val="32"/>
          <w:szCs w:val="32"/>
          <w:lang w:eastAsia="zh-CN"/>
        </w:rPr>
        <w:t>第五章</w:t>
      </w:r>
      <w:r>
        <w:rPr>
          <w:rFonts w:hint="eastAsia" w:ascii="黑体" w:hAnsi="黑体" w:eastAsia="黑体" w:cs="仿宋_GB2312"/>
          <w:bCs/>
          <w:color w:val="auto"/>
          <w:sz w:val="32"/>
          <w:szCs w:val="32"/>
          <w:lang w:val="en-US" w:eastAsia="zh-CN"/>
        </w:rPr>
        <w:t xml:space="preserve">  </w:t>
      </w:r>
      <w:r>
        <w:rPr>
          <w:rFonts w:hint="eastAsia" w:ascii="黑体" w:hAnsi="黑体" w:eastAsia="黑体" w:cs="仿宋_GB2312"/>
          <w:bCs/>
          <w:color w:val="auto"/>
          <w:sz w:val="32"/>
          <w:szCs w:val="32"/>
        </w:rPr>
        <w:t>附  则</w:t>
      </w:r>
    </w:p>
    <w:p w14:paraId="2E6937FB">
      <w:pPr>
        <w:keepNext w:val="0"/>
        <w:keepLines w:val="0"/>
        <w:pageBreakBefore w:val="0"/>
        <w:numPr>
          <w:ilvl w:val="0"/>
          <w:numId w:val="0"/>
        </w:numPr>
        <w:kinsoku/>
        <w:wordWrap/>
        <w:overflowPunct/>
        <w:topLinePunct w:val="0"/>
        <w:autoSpaceDE/>
        <w:autoSpaceDN/>
        <w:bidi w:val="0"/>
        <w:adjustRightInd/>
        <w:snapToGrid/>
        <w:spacing w:line="540" w:lineRule="exact"/>
        <w:jc w:val="both"/>
        <w:textAlignment w:val="auto"/>
        <w:outlineLvl w:val="0"/>
        <w:rPr>
          <w:rFonts w:hint="eastAsia" w:ascii="黑体" w:hAnsi="黑体" w:eastAsia="黑体" w:cs="仿宋_GB2312"/>
          <w:bCs/>
          <w:color w:val="auto"/>
          <w:sz w:val="32"/>
          <w:szCs w:val="32"/>
        </w:rPr>
      </w:pPr>
    </w:p>
    <w:p w14:paraId="3FCF5D95">
      <w:pPr>
        <w:keepNext w:val="0"/>
        <w:keepLines w:val="0"/>
        <w:pageBreakBefore w:val="0"/>
        <w:kinsoku/>
        <w:wordWrap/>
        <w:overflowPunct/>
        <w:topLinePunct w:val="0"/>
        <w:autoSpaceDE/>
        <w:autoSpaceDN/>
        <w:bidi w:val="0"/>
        <w:adjustRightInd/>
        <w:snapToGrid/>
        <w:spacing w:line="540" w:lineRule="exact"/>
        <w:textAlignment w:val="auto"/>
        <w:rPr>
          <w:rFonts w:ascii="仿宋_GB2312" w:hAnsi="宋体" w:eastAsia="仿宋_GB2312" w:cs="Tahoma"/>
          <w:color w:val="auto"/>
          <w:sz w:val="32"/>
          <w:szCs w:val="32"/>
          <w:u w:val="none"/>
          <w:shd w:val="clear" w:color="auto" w:fill="FFFFFF"/>
        </w:rPr>
      </w:pPr>
      <w:r>
        <w:rPr>
          <w:rFonts w:hint="eastAsia" w:ascii="仿宋_GB2312" w:hAnsi="仿宋_GB2312" w:eastAsia="仿宋_GB2312" w:cs="仿宋_GB2312"/>
          <w:b/>
          <w:bCs/>
          <w:color w:val="auto"/>
          <w:sz w:val="32"/>
          <w:szCs w:val="32"/>
        </w:rPr>
        <w:t xml:space="preserve">   </w:t>
      </w:r>
      <w:r>
        <w:rPr>
          <w:rFonts w:hint="eastAsia" w:ascii="仿宋_GB2312" w:hAnsi="仿宋_GB2312" w:eastAsia="仿宋_GB2312" w:cs="仿宋_GB2312"/>
          <w:b/>
          <w:bCs/>
          <w:color w:val="auto"/>
          <w:sz w:val="32"/>
          <w:szCs w:val="32"/>
          <w:lang w:val="en-US" w:eastAsia="zh-CN"/>
        </w:rPr>
        <w:t xml:space="preserve"> </w:t>
      </w:r>
      <w:r>
        <w:rPr>
          <w:rFonts w:hint="eastAsia" w:ascii="黑体" w:hAnsi="黑体" w:eastAsia="黑体" w:cs="仿宋_GB2312"/>
          <w:bCs/>
          <w:color w:val="auto"/>
          <w:sz w:val="32"/>
          <w:szCs w:val="32"/>
          <w:u w:val="none"/>
        </w:rPr>
        <w:t>第三十四条</w:t>
      </w:r>
      <w:r>
        <w:rPr>
          <w:rFonts w:hint="eastAsia" w:ascii="仿宋_GB2312" w:hAnsi="仿宋_GB2312" w:eastAsia="仿宋_GB2312" w:cs="仿宋_GB2312"/>
          <w:b/>
          <w:bCs/>
          <w:color w:val="auto"/>
          <w:sz w:val="32"/>
          <w:szCs w:val="32"/>
          <w:u w:val="none"/>
        </w:rPr>
        <w:t xml:space="preserve">  </w:t>
      </w:r>
      <w:r>
        <w:rPr>
          <w:rFonts w:hint="eastAsia" w:ascii="仿宋_GB2312" w:hAnsi="宋体" w:eastAsia="仿宋_GB2312"/>
          <w:color w:val="auto"/>
          <w:sz w:val="32"/>
          <w:szCs w:val="32"/>
          <w:u w:val="none"/>
        </w:rPr>
        <w:t>本细则由</w:t>
      </w:r>
      <w:r>
        <w:rPr>
          <w:rFonts w:hint="eastAsia" w:ascii="仿宋_GB2312" w:hAnsi="宋体" w:eastAsia="仿宋_GB2312" w:cs="Tahoma"/>
          <w:color w:val="auto"/>
          <w:sz w:val="32"/>
          <w:szCs w:val="32"/>
          <w:u w:val="none"/>
          <w:shd w:val="clear" w:color="auto" w:fill="FFFFFF"/>
        </w:rPr>
        <w:t>市发展改革委、市住建局、市市场监管局在各自职权范围内负责解释。</w:t>
      </w:r>
    </w:p>
    <w:p w14:paraId="04066159">
      <w:pPr>
        <w:keepNext w:val="0"/>
        <w:keepLines w:val="0"/>
        <w:pageBreakBefore w:val="0"/>
        <w:kinsoku/>
        <w:wordWrap/>
        <w:overflowPunct/>
        <w:topLinePunct w:val="0"/>
        <w:autoSpaceDE/>
        <w:autoSpaceDN/>
        <w:bidi w:val="0"/>
        <w:adjustRightInd/>
        <w:snapToGrid/>
        <w:spacing w:line="540" w:lineRule="exact"/>
        <w:ind w:firstLine="645"/>
        <w:textAlignment w:val="auto"/>
        <w:rPr>
          <w:rFonts w:ascii="仿宋_GB2312" w:eastAsia="仿宋_GB2312"/>
          <w:color w:val="auto"/>
          <w:sz w:val="32"/>
          <w:szCs w:val="32"/>
        </w:rPr>
      </w:pPr>
      <w:r>
        <w:rPr>
          <w:rFonts w:hint="eastAsia" w:ascii="黑体" w:hAnsi="黑体" w:eastAsia="黑体" w:cs="仿宋_GB2312"/>
          <w:bCs/>
          <w:color w:val="auto"/>
          <w:sz w:val="32"/>
          <w:szCs w:val="32"/>
        </w:rPr>
        <w:t>第三十五条</w:t>
      </w:r>
      <w:r>
        <w:rPr>
          <w:rFonts w:hint="eastAsia" w:ascii="仿宋_GB2312" w:eastAsia="仿宋_GB2312"/>
          <w:color w:val="auto"/>
          <w:sz w:val="32"/>
          <w:szCs w:val="32"/>
        </w:rPr>
        <w:t xml:space="preserve">  本细则自</w:t>
      </w:r>
      <w:r>
        <w:rPr>
          <w:rFonts w:hint="eastAsia" w:ascii="仿宋_GB2312" w:eastAsia="仿宋_GB2312"/>
          <w:color w:val="auto"/>
          <w:sz w:val="32"/>
          <w:szCs w:val="32"/>
          <w:lang w:val="en-US" w:eastAsia="zh-CN"/>
        </w:rPr>
        <w:t>2027</w:t>
      </w:r>
      <w:r>
        <w:rPr>
          <w:rFonts w:hint="eastAsia" w:ascii="仿宋_GB2312" w:eastAsia="仿宋_GB2312"/>
          <w:color w:val="auto"/>
          <w:sz w:val="32"/>
          <w:szCs w:val="32"/>
        </w:rPr>
        <w:t>年</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月</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日起实施，有效期5年。凡以前有关规定与本细则不符的，按本细则执行。</w:t>
      </w:r>
      <w:r>
        <w:rPr>
          <w:rFonts w:hint="eastAsia" w:ascii="仿宋_GB2312" w:eastAsia="仿宋_GB2312"/>
          <w:color w:val="auto"/>
          <w:sz w:val="32"/>
          <w:szCs w:val="32"/>
          <w:u w:val="none"/>
          <w:lang w:eastAsia="zh-CN"/>
        </w:rPr>
        <w:t>法律、法规、规章等另有规定的</w:t>
      </w:r>
      <w:r>
        <w:rPr>
          <w:rFonts w:hint="eastAsia" w:ascii="仿宋_GB2312" w:eastAsia="仿宋_GB2312"/>
          <w:color w:val="auto"/>
          <w:sz w:val="32"/>
          <w:szCs w:val="32"/>
        </w:rPr>
        <w:t>从其规定。</w:t>
      </w:r>
    </w:p>
    <w:p w14:paraId="3D415BCC">
      <w:pPr>
        <w:keepNext w:val="0"/>
        <w:keepLines w:val="0"/>
        <w:pageBreakBefore w:val="0"/>
        <w:kinsoku/>
        <w:wordWrap/>
        <w:overflowPunct/>
        <w:topLinePunct w:val="0"/>
        <w:autoSpaceDE/>
        <w:autoSpaceDN/>
        <w:bidi w:val="0"/>
        <w:adjustRightInd/>
        <w:snapToGrid/>
        <w:spacing w:line="540" w:lineRule="exact"/>
        <w:textAlignment w:val="auto"/>
        <w:rPr>
          <w:rFonts w:hint="eastAsia" w:ascii="仿宋_GB2312" w:eastAsia="仿宋_GB2312"/>
          <w:color w:val="auto"/>
          <w:sz w:val="32"/>
          <w:szCs w:val="32"/>
          <w:lang w:val="en-US" w:eastAsia="zh-CN"/>
        </w:rPr>
      </w:pPr>
      <w:r>
        <w:rPr>
          <w:rFonts w:hint="eastAsia" w:ascii="仿宋_GB2312" w:eastAsia="仿宋_GB2312"/>
          <w:color w:val="auto"/>
          <w:sz w:val="32"/>
          <w:szCs w:val="32"/>
        </w:rPr>
        <w:t xml:space="preserve">    </w:t>
      </w:r>
      <w:r>
        <w:rPr>
          <w:rFonts w:hint="eastAsia" w:ascii="仿宋_GB2312" w:eastAsia="仿宋_GB2312"/>
          <w:color w:val="auto"/>
          <w:sz w:val="32"/>
          <w:szCs w:val="32"/>
          <w:lang w:eastAsia="zh-CN"/>
        </w:rPr>
        <w:t>物业服务人</w:t>
      </w:r>
      <w:r>
        <w:rPr>
          <w:rFonts w:hint="eastAsia" w:ascii="仿宋_GB2312" w:eastAsia="仿宋_GB2312"/>
          <w:color w:val="auto"/>
          <w:sz w:val="32"/>
          <w:szCs w:val="32"/>
        </w:rPr>
        <w:t>执行新的物业服务</w:t>
      </w:r>
      <w:r>
        <w:rPr>
          <w:rFonts w:hint="eastAsia" w:ascii="仿宋_GB2312" w:eastAsia="仿宋_GB2312"/>
          <w:color w:val="auto"/>
          <w:sz w:val="32"/>
          <w:szCs w:val="32"/>
          <w:lang w:eastAsia="zh-CN"/>
        </w:rPr>
        <w:t>费</w:t>
      </w:r>
      <w:r>
        <w:rPr>
          <w:rFonts w:hint="eastAsia" w:ascii="仿宋_GB2312" w:eastAsia="仿宋_GB2312"/>
          <w:color w:val="auto"/>
          <w:sz w:val="32"/>
          <w:szCs w:val="32"/>
        </w:rPr>
        <w:t>收费标准前，应当按照本细则第三十</w:t>
      </w:r>
      <w:r>
        <w:rPr>
          <w:rFonts w:hint="eastAsia" w:ascii="仿宋_GB2312" w:eastAsia="仿宋_GB2312"/>
          <w:color w:val="auto"/>
          <w:sz w:val="32"/>
          <w:szCs w:val="32"/>
          <w:lang w:eastAsia="zh-CN"/>
        </w:rPr>
        <w:t>二</w:t>
      </w:r>
      <w:r>
        <w:rPr>
          <w:rFonts w:hint="eastAsia" w:ascii="仿宋_GB2312" w:eastAsia="仿宋_GB2312"/>
          <w:color w:val="auto"/>
          <w:sz w:val="32"/>
          <w:szCs w:val="32"/>
        </w:rPr>
        <w:t>条的规定程序</w:t>
      </w:r>
      <w:r>
        <w:rPr>
          <w:rFonts w:hint="eastAsia" w:ascii="仿宋_GB2312" w:eastAsia="仿宋_GB2312"/>
          <w:color w:val="auto"/>
          <w:sz w:val="32"/>
          <w:szCs w:val="32"/>
          <w:lang w:eastAsia="zh-CN"/>
        </w:rPr>
        <w:t>与业主重新签订或变更物业服务合同</w:t>
      </w:r>
      <w:r>
        <w:rPr>
          <w:rFonts w:hint="eastAsia" w:ascii="仿宋_GB2312" w:eastAsia="仿宋_GB2312"/>
          <w:color w:val="auto"/>
          <w:sz w:val="32"/>
          <w:szCs w:val="32"/>
        </w:rPr>
        <w:t>，在</w:t>
      </w:r>
      <w:r>
        <w:rPr>
          <w:rFonts w:hint="eastAsia" w:ascii="仿宋_GB2312" w:eastAsia="仿宋_GB2312"/>
          <w:color w:val="auto"/>
          <w:sz w:val="32"/>
          <w:szCs w:val="32"/>
          <w:lang w:eastAsia="zh-CN"/>
        </w:rPr>
        <w:t>新合同签订或变更前</w:t>
      </w:r>
      <w:r>
        <w:rPr>
          <w:rFonts w:hint="eastAsia" w:ascii="仿宋_GB2312" w:eastAsia="仿宋_GB2312"/>
          <w:color w:val="auto"/>
          <w:sz w:val="32"/>
          <w:szCs w:val="32"/>
        </w:rPr>
        <w:t>仍按原合同约定执行。停车服务</w:t>
      </w:r>
      <w:r>
        <w:rPr>
          <w:rFonts w:hint="eastAsia" w:ascii="仿宋_GB2312" w:eastAsia="仿宋_GB2312"/>
          <w:color w:val="auto"/>
          <w:sz w:val="32"/>
          <w:szCs w:val="32"/>
          <w:lang w:eastAsia="zh-CN"/>
        </w:rPr>
        <w:t>费收</w:t>
      </w:r>
      <w:r>
        <w:rPr>
          <w:rFonts w:hint="eastAsia" w:ascii="仿宋_GB2312" w:eastAsia="仿宋_GB2312"/>
          <w:color w:val="auto"/>
          <w:sz w:val="32"/>
          <w:szCs w:val="32"/>
        </w:rPr>
        <w:t>费</w:t>
      </w:r>
      <w:r>
        <w:rPr>
          <w:rFonts w:hint="eastAsia" w:ascii="仿宋_GB2312" w:eastAsia="仿宋_GB2312"/>
          <w:color w:val="auto"/>
          <w:sz w:val="32"/>
          <w:szCs w:val="32"/>
          <w:lang w:eastAsia="zh-CN"/>
        </w:rPr>
        <w:t>标准</w:t>
      </w:r>
      <w:r>
        <w:rPr>
          <w:rFonts w:hint="eastAsia" w:ascii="仿宋_GB2312" w:eastAsia="仿宋_GB2312"/>
          <w:color w:val="auto"/>
          <w:sz w:val="32"/>
          <w:szCs w:val="32"/>
        </w:rPr>
        <w:t>从文件执行之日起实施</w:t>
      </w:r>
      <w:r>
        <w:rPr>
          <w:rFonts w:hint="eastAsia" w:ascii="仿宋_GB2312" w:eastAsia="仿宋_GB2312"/>
          <w:color w:val="auto"/>
          <w:sz w:val="32"/>
          <w:szCs w:val="32"/>
          <w:lang w:val="en-US" w:eastAsia="zh-CN"/>
        </w:rPr>
        <w:t>。</w:t>
      </w:r>
      <w:r>
        <w:rPr>
          <w:rFonts w:hint="eastAsia" w:ascii="仿宋_GB2312" w:eastAsia="仿宋_GB2312"/>
          <w:color w:val="auto"/>
          <w:sz w:val="32"/>
          <w:szCs w:val="32"/>
          <w:lang w:eastAsia="zh-CN"/>
        </w:rPr>
        <w:t>新签订物业服务合同的，按照本细则执行。</w:t>
      </w:r>
    </w:p>
    <w:p w14:paraId="7263C8D0">
      <w:pPr>
        <w:keepNext w:val="0"/>
        <w:keepLines w:val="0"/>
        <w:pageBreakBefore w:val="0"/>
        <w:kinsoku/>
        <w:wordWrap/>
        <w:overflowPunct/>
        <w:topLinePunct w:val="0"/>
        <w:autoSpaceDE/>
        <w:autoSpaceDN/>
        <w:bidi w:val="0"/>
        <w:adjustRightInd/>
        <w:snapToGrid/>
        <w:spacing w:line="540" w:lineRule="exact"/>
        <w:textAlignment w:val="auto"/>
        <w:rPr>
          <w:rFonts w:ascii="仿宋_GB2312" w:hAnsi="仿宋_GB2312" w:eastAsia="仿宋_GB2312" w:cs="仿宋_GB2312"/>
          <w:b/>
          <w:bCs/>
          <w:color w:val="auto"/>
          <w:sz w:val="32"/>
          <w:szCs w:val="32"/>
        </w:rPr>
      </w:pPr>
    </w:p>
    <w:p w14:paraId="41E27B2D">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仿宋_GB2312" w:hAnsi="仿宋_GB2312" w:eastAsia="仿宋_GB2312" w:cs="仿宋_GB2312"/>
          <w:color w:val="auto"/>
          <w:spacing w:val="-11"/>
          <w:sz w:val="32"/>
          <w:szCs w:val="32"/>
        </w:rPr>
      </w:pPr>
      <w:r>
        <w:rPr>
          <w:rFonts w:hint="eastAsia" w:ascii="仿宋_GB2312" w:hAnsi="仿宋_GB2312" w:eastAsia="仿宋_GB2312" w:cs="仿宋_GB2312"/>
          <w:color w:val="auto"/>
          <w:sz w:val="32"/>
          <w:szCs w:val="32"/>
        </w:rPr>
        <w:t>附件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pacing w:val="-6"/>
          <w:sz w:val="32"/>
          <w:szCs w:val="32"/>
          <w:lang w:val="en-US" w:eastAsia="zh-CN"/>
        </w:rPr>
        <w:t>1</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铜川</w:t>
      </w:r>
      <w:r>
        <w:rPr>
          <w:rFonts w:hint="eastAsia" w:ascii="仿宋_GB2312" w:hAnsi="仿宋_GB2312" w:eastAsia="仿宋_GB2312" w:cs="仿宋_GB2312"/>
          <w:color w:val="auto"/>
          <w:sz w:val="32"/>
          <w:szCs w:val="32"/>
        </w:rPr>
        <w:t>市物业服务收费政府指导价标准</w:t>
      </w:r>
    </w:p>
    <w:p w14:paraId="2B422292">
      <w:pPr>
        <w:keepNext w:val="0"/>
        <w:keepLines w:val="0"/>
        <w:pageBreakBefore w:val="0"/>
        <w:kinsoku/>
        <w:wordWrap/>
        <w:overflowPunct/>
        <w:topLinePunct w:val="0"/>
        <w:autoSpaceDE/>
        <w:autoSpaceDN/>
        <w:bidi w:val="0"/>
        <w:adjustRightInd/>
        <w:snapToGrid/>
        <w:spacing w:line="540" w:lineRule="exact"/>
        <w:ind w:firstLine="596" w:firstLineChars="200"/>
        <w:textAlignment w:val="auto"/>
        <w:rPr>
          <w:rFonts w:ascii="仿宋_GB2312" w:hAnsi="仿宋_GB2312" w:eastAsia="仿宋_GB2312" w:cs="仿宋_GB2312"/>
          <w:color w:val="auto"/>
          <w:spacing w:val="-17"/>
          <w:w w:val="100"/>
          <w:sz w:val="32"/>
          <w:szCs w:val="32"/>
        </w:rPr>
      </w:pPr>
      <w:r>
        <w:rPr>
          <w:rFonts w:hint="eastAsia" w:ascii="仿宋_GB2312" w:hAnsi="仿宋_GB2312" w:eastAsia="仿宋_GB2312" w:cs="仿宋_GB2312"/>
          <w:color w:val="auto"/>
          <w:spacing w:val="-11"/>
          <w:sz w:val="32"/>
          <w:szCs w:val="32"/>
        </w:rPr>
        <w:t xml:space="preserve">    </w:t>
      </w:r>
      <w:r>
        <w:rPr>
          <w:rFonts w:hint="eastAsia" w:ascii="仿宋_GB2312" w:hAnsi="仿宋_GB2312" w:eastAsia="仿宋_GB2312" w:cs="仿宋_GB2312"/>
          <w:color w:val="auto"/>
          <w:spacing w:val="-6"/>
          <w:sz w:val="32"/>
          <w:szCs w:val="32"/>
        </w:rPr>
        <w:t xml:space="preserve"> </w:t>
      </w:r>
      <w:r>
        <w:rPr>
          <w:rFonts w:hint="eastAsia" w:ascii="仿宋_GB2312" w:hAnsi="仿宋_GB2312" w:eastAsia="仿宋_GB2312" w:cs="仿宋_GB2312"/>
          <w:color w:val="auto"/>
          <w:spacing w:val="-6"/>
          <w:sz w:val="32"/>
          <w:szCs w:val="32"/>
          <w:lang w:val="en-US" w:eastAsia="zh-CN"/>
        </w:rPr>
        <w:t xml:space="preserve">  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pacing w:val="-17"/>
          <w:w w:val="100"/>
          <w:sz w:val="32"/>
          <w:szCs w:val="32"/>
          <w:lang w:eastAsia="zh-CN"/>
        </w:rPr>
        <w:t>铜川</w:t>
      </w:r>
      <w:r>
        <w:rPr>
          <w:rFonts w:hint="eastAsia" w:ascii="仿宋_GB2312" w:hAnsi="仿宋_GB2312" w:eastAsia="仿宋_GB2312" w:cs="仿宋_GB2312"/>
          <w:color w:val="auto"/>
          <w:spacing w:val="-17"/>
          <w:w w:val="100"/>
          <w:sz w:val="32"/>
          <w:szCs w:val="32"/>
        </w:rPr>
        <w:t>市物业</w:t>
      </w:r>
      <w:r>
        <w:rPr>
          <w:rFonts w:hint="eastAsia" w:ascii="仿宋_GB2312" w:hAnsi="仿宋_GB2312" w:eastAsia="仿宋_GB2312" w:cs="仿宋_GB2312"/>
          <w:color w:val="auto"/>
          <w:spacing w:val="-17"/>
          <w:w w:val="100"/>
          <w:sz w:val="32"/>
          <w:szCs w:val="32"/>
          <w:lang w:eastAsia="zh-CN"/>
        </w:rPr>
        <w:t>管理</w:t>
      </w:r>
      <w:r>
        <w:rPr>
          <w:rFonts w:hint="eastAsia" w:ascii="仿宋_GB2312" w:hAnsi="仿宋_GB2312" w:eastAsia="仿宋_GB2312" w:cs="仿宋_GB2312"/>
          <w:color w:val="auto"/>
          <w:spacing w:val="-17"/>
          <w:w w:val="100"/>
          <w:sz w:val="32"/>
          <w:szCs w:val="32"/>
        </w:rPr>
        <w:t>区域内机动车室内停放场所类别标准</w:t>
      </w:r>
    </w:p>
    <w:p w14:paraId="5E3C1C42">
      <w:pPr>
        <w:spacing w:line="570" w:lineRule="exact"/>
        <w:rPr>
          <w:rFonts w:hint="eastAsia" w:ascii="黑体" w:hAnsi="黑体" w:eastAsia="黑体" w:cs="黑体"/>
          <w:color w:val="auto"/>
          <w:sz w:val="32"/>
          <w:szCs w:val="32"/>
        </w:rPr>
      </w:pPr>
    </w:p>
    <w:p w14:paraId="1C9F317B">
      <w:pPr>
        <w:spacing w:line="570" w:lineRule="exact"/>
        <w:rPr>
          <w:rFonts w:hint="eastAsia" w:ascii="黑体" w:hAnsi="黑体" w:eastAsia="黑体" w:cs="黑体"/>
          <w:color w:val="auto"/>
          <w:sz w:val="32"/>
          <w:szCs w:val="32"/>
        </w:rPr>
      </w:pPr>
    </w:p>
    <w:p w14:paraId="749C6396">
      <w:pPr>
        <w:spacing w:line="570" w:lineRule="exact"/>
        <w:rPr>
          <w:rFonts w:hint="eastAsia" w:ascii="黑体" w:hAnsi="黑体" w:eastAsia="黑体" w:cs="黑体"/>
          <w:color w:val="auto"/>
          <w:sz w:val="32"/>
          <w:szCs w:val="32"/>
        </w:rPr>
      </w:pPr>
    </w:p>
    <w:p w14:paraId="0A6285F4">
      <w:pPr>
        <w:spacing w:line="570" w:lineRule="exact"/>
        <w:rPr>
          <w:rFonts w:hint="eastAsia" w:ascii="黑体" w:hAnsi="黑体" w:eastAsia="黑体" w:cs="黑体"/>
          <w:color w:val="auto"/>
          <w:sz w:val="32"/>
          <w:szCs w:val="32"/>
        </w:rPr>
      </w:pPr>
    </w:p>
    <w:p w14:paraId="38C2C32C">
      <w:pPr>
        <w:spacing w:line="570" w:lineRule="exact"/>
        <w:rPr>
          <w:rFonts w:hint="eastAsia" w:ascii="黑体" w:hAnsi="黑体" w:eastAsia="黑体" w:cs="黑体"/>
          <w:color w:val="auto"/>
          <w:sz w:val="32"/>
          <w:szCs w:val="32"/>
        </w:rPr>
      </w:pPr>
    </w:p>
    <w:p w14:paraId="22D1CEA8">
      <w:pPr>
        <w:spacing w:line="570" w:lineRule="exact"/>
        <w:rPr>
          <w:rFonts w:hint="eastAsia" w:ascii="黑体" w:hAnsi="黑体" w:eastAsia="黑体" w:cs="黑体"/>
          <w:color w:val="auto"/>
          <w:sz w:val="32"/>
          <w:szCs w:val="32"/>
        </w:rPr>
      </w:pPr>
    </w:p>
    <w:p w14:paraId="0DB97ECF">
      <w:pPr>
        <w:spacing w:line="570" w:lineRule="exact"/>
        <w:rPr>
          <w:rFonts w:hint="eastAsia" w:ascii="黑体" w:hAnsi="黑体" w:eastAsia="黑体" w:cs="黑体"/>
          <w:color w:val="auto"/>
          <w:sz w:val="32"/>
          <w:szCs w:val="32"/>
        </w:rPr>
      </w:pPr>
    </w:p>
    <w:p w14:paraId="31E6C890">
      <w:pPr>
        <w:spacing w:line="570" w:lineRule="exact"/>
        <w:rPr>
          <w:rFonts w:hint="eastAsia" w:ascii="黑体" w:hAnsi="黑体" w:eastAsia="黑体" w:cs="黑体"/>
          <w:color w:val="auto"/>
          <w:sz w:val="32"/>
          <w:szCs w:val="32"/>
        </w:rPr>
      </w:pPr>
    </w:p>
    <w:p w14:paraId="7741986C">
      <w:pPr>
        <w:spacing w:line="570" w:lineRule="exact"/>
        <w:rPr>
          <w:rFonts w:ascii="黑体" w:hAnsi="黑体" w:eastAsia="黑体" w:cs="黑体"/>
          <w:color w:val="auto"/>
          <w:sz w:val="32"/>
          <w:szCs w:val="32"/>
        </w:rPr>
      </w:pPr>
      <w:r>
        <w:rPr>
          <w:rFonts w:hint="eastAsia" w:ascii="黑体" w:hAnsi="黑体" w:eastAsia="黑体" w:cs="黑体"/>
          <w:color w:val="auto"/>
          <w:sz w:val="32"/>
          <w:szCs w:val="32"/>
        </w:rPr>
        <w:t>附件1</w:t>
      </w:r>
    </w:p>
    <w:p w14:paraId="256D6DCD">
      <w:pPr>
        <w:spacing w:line="520" w:lineRule="exact"/>
        <w:jc w:val="center"/>
        <w:outlineLvl w:val="0"/>
        <w:rPr>
          <w:rFonts w:hint="eastAsia" w:ascii="方正小标宋简体" w:hAnsi="方正小标宋简体" w:eastAsia="方正小标宋简体" w:cs="方正小标宋简体"/>
          <w:b w:val="0"/>
          <w:bCs w:val="0"/>
          <w:color w:val="auto"/>
          <w:sz w:val="36"/>
          <w:szCs w:val="36"/>
        </w:rPr>
      </w:pPr>
      <w:r>
        <w:rPr>
          <w:rFonts w:hint="eastAsia" w:ascii="方正小标宋简体" w:hAnsi="方正小标宋简体" w:eastAsia="方正小标宋简体" w:cs="方正小标宋简体"/>
          <w:b w:val="0"/>
          <w:bCs w:val="0"/>
          <w:color w:val="auto"/>
          <w:sz w:val="36"/>
          <w:szCs w:val="36"/>
          <w:lang w:eastAsia="zh-CN"/>
        </w:rPr>
        <w:t>铜川</w:t>
      </w:r>
      <w:r>
        <w:rPr>
          <w:rFonts w:hint="eastAsia" w:ascii="方正小标宋简体" w:hAnsi="方正小标宋简体" w:eastAsia="方正小标宋简体" w:cs="方正小标宋简体"/>
          <w:b w:val="0"/>
          <w:bCs w:val="0"/>
          <w:color w:val="auto"/>
          <w:sz w:val="36"/>
          <w:szCs w:val="36"/>
        </w:rPr>
        <w:t>市物业服务收费政府指导价标准</w:t>
      </w:r>
    </w:p>
    <w:p w14:paraId="469B7404">
      <w:pPr>
        <w:keepNext w:val="0"/>
        <w:keepLines w:val="0"/>
        <w:pageBreakBefore w:val="0"/>
        <w:widowControl w:val="0"/>
        <w:kinsoku/>
        <w:wordWrap/>
        <w:overflowPunct/>
        <w:topLinePunct w:val="0"/>
        <w:autoSpaceDE/>
        <w:autoSpaceDN/>
        <w:bidi w:val="0"/>
        <w:adjustRightInd/>
        <w:snapToGrid/>
        <w:spacing w:before="157" w:beforeLines="50" w:after="157" w:afterLines="50" w:line="300" w:lineRule="exact"/>
        <w:jc w:val="center"/>
        <w:textAlignment w:val="auto"/>
        <w:rPr>
          <w:rFonts w:hint="eastAsia" w:cs="仿宋_GB2312" w:asciiTheme="minorEastAsia" w:hAnsiTheme="minorEastAsia" w:eastAsiaTheme="minorEastAsia"/>
          <w:b/>
          <w:bCs/>
          <w:color w:val="auto"/>
          <w:kern w:val="0"/>
          <w:sz w:val="28"/>
          <w:szCs w:val="28"/>
        </w:rPr>
      </w:pPr>
      <w:r>
        <w:rPr>
          <w:rFonts w:hint="eastAsia" w:cs="仿宋_GB2312" w:asciiTheme="minorEastAsia" w:hAnsiTheme="minorEastAsia" w:eastAsiaTheme="minorEastAsia"/>
          <w:b/>
          <w:bCs/>
          <w:color w:val="auto"/>
          <w:kern w:val="0"/>
          <w:sz w:val="28"/>
          <w:szCs w:val="28"/>
        </w:rPr>
        <w:t>物业服务费政府指导价标准</w:t>
      </w:r>
    </w:p>
    <w:tbl>
      <w:tblPr>
        <w:tblStyle w:val="6"/>
        <w:tblW w:w="86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60"/>
        <w:gridCol w:w="3376"/>
        <w:gridCol w:w="3380"/>
      </w:tblGrid>
      <w:tr w14:paraId="00192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860" w:type="dxa"/>
            <w:vMerge w:val="restart"/>
            <w:tcBorders>
              <w:top w:val="single" w:color="auto" w:sz="4" w:space="0"/>
              <w:left w:val="single" w:color="auto" w:sz="4" w:space="0"/>
              <w:bottom w:val="single" w:color="auto" w:sz="4" w:space="0"/>
              <w:right w:val="single" w:color="auto" w:sz="4" w:space="0"/>
            </w:tcBorders>
            <w:vAlign w:val="center"/>
          </w:tcPr>
          <w:p w14:paraId="69E1B093">
            <w:pPr>
              <w:spacing w:line="300" w:lineRule="exact"/>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kern w:val="0"/>
                <w:sz w:val="24"/>
                <w:szCs w:val="24"/>
              </w:rPr>
              <w:t>服务等级</w:t>
            </w:r>
          </w:p>
        </w:tc>
        <w:tc>
          <w:tcPr>
            <w:tcW w:w="6756" w:type="dxa"/>
            <w:gridSpan w:val="2"/>
            <w:tcBorders>
              <w:top w:val="single" w:color="auto" w:sz="4" w:space="0"/>
              <w:left w:val="nil"/>
              <w:bottom w:val="single" w:color="auto" w:sz="4" w:space="0"/>
              <w:right w:val="single" w:color="auto" w:sz="4" w:space="0"/>
            </w:tcBorders>
            <w:vAlign w:val="center"/>
          </w:tcPr>
          <w:p w14:paraId="49A315BB">
            <w:pPr>
              <w:spacing w:line="300" w:lineRule="exact"/>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kern w:val="0"/>
                <w:sz w:val="24"/>
                <w:szCs w:val="24"/>
              </w:rPr>
              <w:t>收费标准（元/平方米·月）</w:t>
            </w:r>
          </w:p>
        </w:tc>
      </w:tr>
      <w:tr w14:paraId="5870AF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860" w:type="dxa"/>
            <w:vMerge w:val="continue"/>
            <w:tcBorders>
              <w:top w:val="single" w:color="auto" w:sz="4" w:space="0"/>
              <w:left w:val="single" w:color="auto" w:sz="4" w:space="0"/>
              <w:bottom w:val="single" w:color="auto" w:sz="4" w:space="0"/>
              <w:right w:val="single" w:color="auto" w:sz="4" w:space="0"/>
            </w:tcBorders>
            <w:vAlign w:val="center"/>
          </w:tcPr>
          <w:p w14:paraId="11E69A91">
            <w:pPr>
              <w:widowControl/>
              <w:spacing w:line="300" w:lineRule="exact"/>
              <w:jc w:val="center"/>
              <w:rPr>
                <w:rFonts w:cs="仿宋_GB2312" w:asciiTheme="minorEastAsia" w:hAnsiTheme="minorEastAsia" w:eastAsiaTheme="minorEastAsia"/>
                <w:b/>
                <w:bCs/>
                <w:color w:val="auto"/>
                <w:sz w:val="24"/>
                <w:szCs w:val="24"/>
              </w:rPr>
            </w:pPr>
          </w:p>
        </w:tc>
        <w:tc>
          <w:tcPr>
            <w:tcW w:w="3376" w:type="dxa"/>
            <w:tcBorders>
              <w:top w:val="single" w:color="auto" w:sz="4" w:space="0"/>
              <w:left w:val="nil"/>
              <w:bottom w:val="single" w:color="auto" w:sz="4" w:space="0"/>
              <w:right w:val="single" w:color="auto" w:sz="4" w:space="0"/>
            </w:tcBorders>
            <w:vAlign w:val="center"/>
          </w:tcPr>
          <w:p w14:paraId="0E75EFEA">
            <w:pPr>
              <w:spacing w:line="300" w:lineRule="exact"/>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kern w:val="0"/>
                <w:sz w:val="24"/>
                <w:szCs w:val="24"/>
              </w:rPr>
              <w:t>高  层</w:t>
            </w:r>
          </w:p>
        </w:tc>
        <w:tc>
          <w:tcPr>
            <w:tcW w:w="3380" w:type="dxa"/>
            <w:tcBorders>
              <w:top w:val="single" w:color="auto" w:sz="4" w:space="0"/>
              <w:left w:val="nil"/>
              <w:bottom w:val="single" w:color="auto" w:sz="4" w:space="0"/>
              <w:right w:val="single" w:color="auto" w:sz="4" w:space="0"/>
            </w:tcBorders>
            <w:vAlign w:val="center"/>
          </w:tcPr>
          <w:p w14:paraId="00F75587">
            <w:pPr>
              <w:spacing w:line="300" w:lineRule="exact"/>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kern w:val="0"/>
                <w:sz w:val="24"/>
                <w:szCs w:val="24"/>
              </w:rPr>
              <w:t>多  层</w:t>
            </w:r>
          </w:p>
        </w:tc>
      </w:tr>
      <w:tr w14:paraId="70DD1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860" w:type="dxa"/>
            <w:tcBorders>
              <w:top w:val="single" w:color="auto" w:sz="4" w:space="0"/>
              <w:left w:val="single" w:color="auto" w:sz="4" w:space="0"/>
              <w:bottom w:val="single" w:color="auto" w:sz="4" w:space="0"/>
              <w:right w:val="single" w:color="auto" w:sz="4" w:space="0"/>
            </w:tcBorders>
            <w:vAlign w:val="center"/>
          </w:tcPr>
          <w:p w14:paraId="3591BB10">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一级</w:t>
            </w:r>
          </w:p>
        </w:tc>
        <w:tc>
          <w:tcPr>
            <w:tcW w:w="3376" w:type="dxa"/>
            <w:tcBorders>
              <w:top w:val="single" w:color="auto" w:sz="4" w:space="0"/>
              <w:left w:val="nil"/>
              <w:bottom w:val="single" w:color="auto" w:sz="4" w:space="0"/>
              <w:right w:val="single" w:color="auto" w:sz="4" w:space="0"/>
            </w:tcBorders>
            <w:vAlign w:val="center"/>
          </w:tcPr>
          <w:p w14:paraId="7B515320">
            <w:pPr>
              <w:spacing w:line="300" w:lineRule="exact"/>
              <w:jc w:val="center"/>
              <w:rPr>
                <w:rFonts w:hint="eastAsia" w:cs="仿宋_GB2312" w:asciiTheme="minorEastAsia" w:hAnsiTheme="minorEastAsia" w:eastAsiaTheme="minorEastAsia"/>
                <w:color w:val="auto"/>
                <w:sz w:val="24"/>
                <w:szCs w:val="24"/>
                <w:lang w:val="en-US" w:eastAsia="zh-CN"/>
              </w:rPr>
            </w:pPr>
            <w:r>
              <w:rPr>
                <w:rFonts w:hint="eastAsia" w:cs="仿宋_GB2312" w:asciiTheme="minorEastAsia" w:hAnsiTheme="minorEastAsia" w:eastAsiaTheme="minorEastAsia"/>
                <w:color w:val="auto"/>
                <w:kern w:val="0"/>
                <w:sz w:val="24"/>
                <w:szCs w:val="24"/>
              </w:rPr>
              <w:t>1.8</w:t>
            </w:r>
            <w:r>
              <w:rPr>
                <w:rFonts w:hint="eastAsia" w:cs="仿宋_GB2312" w:asciiTheme="minorEastAsia" w:hAnsiTheme="minorEastAsia" w:eastAsiaTheme="minorEastAsia"/>
                <w:color w:val="auto"/>
                <w:kern w:val="0"/>
                <w:sz w:val="24"/>
                <w:szCs w:val="24"/>
                <w:lang w:val="en-US" w:eastAsia="zh-CN"/>
              </w:rPr>
              <w:t>0</w:t>
            </w:r>
          </w:p>
        </w:tc>
        <w:tc>
          <w:tcPr>
            <w:tcW w:w="3380" w:type="dxa"/>
            <w:tcBorders>
              <w:top w:val="single" w:color="auto" w:sz="4" w:space="0"/>
              <w:left w:val="nil"/>
              <w:bottom w:val="single" w:color="auto" w:sz="4" w:space="0"/>
              <w:right w:val="single" w:color="auto" w:sz="4" w:space="0"/>
            </w:tcBorders>
            <w:vAlign w:val="center"/>
          </w:tcPr>
          <w:p w14:paraId="1520F9DD">
            <w:pPr>
              <w:spacing w:line="300" w:lineRule="exact"/>
              <w:jc w:val="center"/>
              <w:rPr>
                <w:rFonts w:hint="default" w:cs="仿宋_GB2312" w:asciiTheme="minorEastAsia" w:hAnsiTheme="minorEastAsia" w:eastAsiaTheme="minorEastAsia"/>
                <w:color w:val="auto"/>
                <w:sz w:val="24"/>
                <w:szCs w:val="24"/>
                <w:lang w:val="en-US" w:eastAsia="zh-CN"/>
              </w:rPr>
            </w:pPr>
            <w:r>
              <w:rPr>
                <w:rFonts w:hint="eastAsia" w:cs="仿宋_GB2312" w:asciiTheme="minorEastAsia" w:hAnsiTheme="minorEastAsia" w:eastAsiaTheme="minorEastAsia"/>
                <w:color w:val="auto"/>
                <w:kern w:val="0"/>
                <w:sz w:val="24"/>
                <w:szCs w:val="24"/>
              </w:rPr>
              <w:t>0.</w:t>
            </w:r>
            <w:r>
              <w:rPr>
                <w:rFonts w:hint="eastAsia" w:cs="仿宋_GB2312" w:asciiTheme="minorEastAsia" w:hAnsiTheme="minorEastAsia" w:eastAsiaTheme="minorEastAsia"/>
                <w:color w:val="auto"/>
                <w:kern w:val="0"/>
                <w:sz w:val="24"/>
                <w:szCs w:val="24"/>
                <w:lang w:val="en-US" w:eastAsia="zh-CN"/>
              </w:rPr>
              <w:t>65</w:t>
            </w:r>
          </w:p>
        </w:tc>
      </w:tr>
      <w:tr w14:paraId="71900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860" w:type="dxa"/>
            <w:tcBorders>
              <w:top w:val="single" w:color="auto" w:sz="4" w:space="0"/>
              <w:left w:val="single" w:color="auto" w:sz="4" w:space="0"/>
              <w:bottom w:val="single" w:color="auto" w:sz="4" w:space="0"/>
              <w:right w:val="single" w:color="auto" w:sz="4" w:space="0"/>
            </w:tcBorders>
            <w:vAlign w:val="center"/>
          </w:tcPr>
          <w:p w14:paraId="02E451B0">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二级</w:t>
            </w:r>
          </w:p>
        </w:tc>
        <w:tc>
          <w:tcPr>
            <w:tcW w:w="3376" w:type="dxa"/>
            <w:tcBorders>
              <w:top w:val="single" w:color="auto" w:sz="4" w:space="0"/>
              <w:left w:val="nil"/>
              <w:bottom w:val="single" w:color="auto" w:sz="4" w:space="0"/>
              <w:right w:val="single" w:color="auto" w:sz="4" w:space="0"/>
            </w:tcBorders>
            <w:vAlign w:val="center"/>
          </w:tcPr>
          <w:p w14:paraId="4D4FFF4A">
            <w:pPr>
              <w:spacing w:line="300" w:lineRule="exact"/>
              <w:jc w:val="center"/>
              <w:rPr>
                <w:rFonts w:hint="eastAsia" w:cs="仿宋_GB2312" w:asciiTheme="minorEastAsia" w:hAnsiTheme="minorEastAsia" w:eastAsiaTheme="minorEastAsia"/>
                <w:color w:val="auto"/>
                <w:sz w:val="24"/>
                <w:szCs w:val="24"/>
                <w:lang w:val="en-US" w:eastAsia="zh-CN"/>
              </w:rPr>
            </w:pPr>
            <w:r>
              <w:rPr>
                <w:rFonts w:hint="eastAsia" w:cs="仿宋_GB2312" w:asciiTheme="minorEastAsia" w:hAnsiTheme="minorEastAsia" w:eastAsiaTheme="minorEastAsia"/>
                <w:color w:val="auto"/>
                <w:kern w:val="0"/>
                <w:sz w:val="24"/>
                <w:szCs w:val="24"/>
              </w:rPr>
              <w:t>1.</w:t>
            </w:r>
            <w:r>
              <w:rPr>
                <w:rFonts w:hint="eastAsia" w:cs="仿宋_GB2312" w:asciiTheme="minorEastAsia" w:hAnsiTheme="minorEastAsia" w:eastAsiaTheme="minorEastAsia"/>
                <w:color w:val="auto"/>
                <w:kern w:val="0"/>
                <w:sz w:val="24"/>
                <w:szCs w:val="24"/>
                <w:lang w:val="en-US" w:eastAsia="zh-CN"/>
              </w:rPr>
              <w:t>60</w:t>
            </w:r>
          </w:p>
        </w:tc>
        <w:tc>
          <w:tcPr>
            <w:tcW w:w="3380" w:type="dxa"/>
            <w:tcBorders>
              <w:top w:val="single" w:color="auto" w:sz="4" w:space="0"/>
              <w:left w:val="nil"/>
              <w:bottom w:val="single" w:color="auto" w:sz="4" w:space="0"/>
              <w:right w:val="single" w:color="auto" w:sz="4" w:space="0"/>
            </w:tcBorders>
            <w:vAlign w:val="center"/>
          </w:tcPr>
          <w:p w14:paraId="7E5FD95C">
            <w:pPr>
              <w:spacing w:line="300" w:lineRule="exact"/>
              <w:jc w:val="center"/>
              <w:rPr>
                <w:rFonts w:hint="default" w:cs="仿宋_GB2312" w:asciiTheme="minorEastAsia" w:hAnsiTheme="minorEastAsia" w:eastAsiaTheme="minorEastAsia"/>
                <w:color w:val="auto"/>
                <w:sz w:val="24"/>
                <w:szCs w:val="24"/>
                <w:lang w:val="en-US" w:eastAsia="zh-CN"/>
              </w:rPr>
            </w:pPr>
            <w:r>
              <w:rPr>
                <w:rFonts w:hint="eastAsia" w:cs="仿宋_GB2312" w:asciiTheme="minorEastAsia" w:hAnsiTheme="minorEastAsia" w:eastAsiaTheme="minorEastAsia"/>
                <w:color w:val="auto"/>
                <w:kern w:val="0"/>
                <w:sz w:val="24"/>
                <w:szCs w:val="24"/>
              </w:rPr>
              <w:t>0.</w:t>
            </w:r>
            <w:r>
              <w:rPr>
                <w:rFonts w:hint="eastAsia" w:cs="仿宋_GB2312" w:asciiTheme="minorEastAsia" w:hAnsiTheme="minorEastAsia" w:eastAsiaTheme="minorEastAsia"/>
                <w:color w:val="auto"/>
                <w:kern w:val="0"/>
                <w:sz w:val="24"/>
                <w:szCs w:val="24"/>
                <w:lang w:val="en-US" w:eastAsia="zh-CN"/>
              </w:rPr>
              <w:t>55</w:t>
            </w:r>
          </w:p>
        </w:tc>
      </w:tr>
      <w:tr w14:paraId="1C487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1860" w:type="dxa"/>
            <w:tcBorders>
              <w:top w:val="single" w:color="auto" w:sz="4" w:space="0"/>
              <w:left w:val="single" w:color="auto" w:sz="4" w:space="0"/>
              <w:bottom w:val="single" w:color="auto" w:sz="4" w:space="0"/>
              <w:right w:val="single" w:color="auto" w:sz="4" w:space="0"/>
            </w:tcBorders>
            <w:vAlign w:val="center"/>
          </w:tcPr>
          <w:p w14:paraId="1735CD8F">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三级</w:t>
            </w:r>
          </w:p>
        </w:tc>
        <w:tc>
          <w:tcPr>
            <w:tcW w:w="3376" w:type="dxa"/>
            <w:tcBorders>
              <w:top w:val="single" w:color="auto" w:sz="4" w:space="0"/>
              <w:left w:val="nil"/>
              <w:bottom w:val="single" w:color="auto" w:sz="4" w:space="0"/>
              <w:right w:val="single" w:color="auto" w:sz="4" w:space="0"/>
            </w:tcBorders>
            <w:vAlign w:val="center"/>
          </w:tcPr>
          <w:p w14:paraId="70194EE7">
            <w:pPr>
              <w:spacing w:line="300" w:lineRule="exact"/>
              <w:jc w:val="center"/>
              <w:rPr>
                <w:rFonts w:hint="default" w:cs="仿宋_GB2312" w:asciiTheme="minorEastAsia" w:hAnsiTheme="minorEastAsia" w:eastAsiaTheme="minorEastAsia"/>
                <w:color w:val="auto"/>
                <w:sz w:val="24"/>
                <w:szCs w:val="24"/>
                <w:lang w:val="en-US"/>
              </w:rPr>
            </w:pPr>
            <w:r>
              <w:rPr>
                <w:rFonts w:hint="eastAsia" w:cs="仿宋_GB2312" w:asciiTheme="minorEastAsia" w:hAnsiTheme="minorEastAsia" w:eastAsiaTheme="minorEastAsia"/>
                <w:color w:val="auto"/>
                <w:kern w:val="0"/>
                <w:sz w:val="24"/>
                <w:szCs w:val="24"/>
              </w:rPr>
              <w:t>1.</w:t>
            </w:r>
            <w:r>
              <w:rPr>
                <w:rFonts w:hint="eastAsia" w:cs="仿宋_GB2312" w:asciiTheme="minorEastAsia" w:hAnsiTheme="minorEastAsia" w:eastAsiaTheme="minorEastAsia"/>
                <w:color w:val="auto"/>
                <w:kern w:val="0"/>
                <w:sz w:val="24"/>
                <w:szCs w:val="24"/>
                <w:lang w:val="en-US" w:eastAsia="zh-CN"/>
              </w:rPr>
              <w:t>25</w:t>
            </w:r>
          </w:p>
        </w:tc>
        <w:tc>
          <w:tcPr>
            <w:tcW w:w="3380" w:type="dxa"/>
            <w:tcBorders>
              <w:top w:val="single" w:color="auto" w:sz="4" w:space="0"/>
              <w:left w:val="nil"/>
              <w:bottom w:val="single" w:color="auto" w:sz="4" w:space="0"/>
              <w:right w:val="single" w:color="auto" w:sz="4" w:space="0"/>
            </w:tcBorders>
            <w:vAlign w:val="center"/>
          </w:tcPr>
          <w:p w14:paraId="1037B096">
            <w:pPr>
              <w:spacing w:line="300" w:lineRule="exact"/>
              <w:jc w:val="center"/>
              <w:rPr>
                <w:rFonts w:hint="default" w:cs="仿宋_GB2312" w:asciiTheme="minorEastAsia" w:hAnsiTheme="minorEastAsia" w:eastAsiaTheme="minorEastAsia"/>
                <w:color w:val="auto"/>
                <w:sz w:val="24"/>
                <w:szCs w:val="24"/>
                <w:lang w:val="en-US" w:eastAsia="zh-CN"/>
              </w:rPr>
            </w:pPr>
            <w:r>
              <w:rPr>
                <w:rFonts w:hint="eastAsia" w:cs="仿宋_GB2312" w:asciiTheme="minorEastAsia" w:hAnsiTheme="minorEastAsia" w:eastAsiaTheme="minorEastAsia"/>
                <w:color w:val="auto"/>
                <w:kern w:val="0"/>
                <w:sz w:val="24"/>
                <w:szCs w:val="24"/>
              </w:rPr>
              <w:t>0.</w:t>
            </w:r>
            <w:r>
              <w:rPr>
                <w:rFonts w:hint="eastAsia" w:cs="仿宋_GB2312" w:asciiTheme="minorEastAsia" w:hAnsiTheme="minorEastAsia" w:eastAsiaTheme="minorEastAsia"/>
                <w:color w:val="auto"/>
                <w:kern w:val="0"/>
                <w:sz w:val="24"/>
                <w:szCs w:val="24"/>
                <w:lang w:val="en-US" w:eastAsia="zh-CN"/>
              </w:rPr>
              <w:t>45</w:t>
            </w:r>
          </w:p>
        </w:tc>
      </w:tr>
      <w:tr w14:paraId="189622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1860" w:type="dxa"/>
            <w:tcBorders>
              <w:top w:val="single" w:color="auto" w:sz="4" w:space="0"/>
              <w:left w:val="single" w:color="auto" w:sz="4" w:space="0"/>
              <w:bottom w:val="single" w:color="auto" w:sz="4" w:space="0"/>
              <w:right w:val="single" w:color="auto" w:sz="4" w:space="0"/>
            </w:tcBorders>
            <w:vAlign w:val="center"/>
          </w:tcPr>
          <w:p w14:paraId="73A96816">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等外</w:t>
            </w:r>
          </w:p>
        </w:tc>
        <w:tc>
          <w:tcPr>
            <w:tcW w:w="3376" w:type="dxa"/>
            <w:tcBorders>
              <w:top w:val="single" w:color="auto" w:sz="4" w:space="0"/>
              <w:left w:val="nil"/>
              <w:bottom w:val="single" w:color="auto" w:sz="4" w:space="0"/>
              <w:right w:val="single" w:color="auto" w:sz="4" w:space="0"/>
            </w:tcBorders>
            <w:vAlign w:val="center"/>
          </w:tcPr>
          <w:p w14:paraId="24BFA246">
            <w:pPr>
              <w:spacing w:line="300" w:lineRule="exact"/>
              <w:jc w:val="center"/>
              <w:rPr>
                <w:rFonts w:hint="default" w:cs="仿宋_GB2312" w:asciiTheme="minorEastAsia" w:hAnsiTheme="minorEastAsia" w:eastAsiaTheme="minorEastAsia"/>
                <w:color w:val="auto"/>
                <w:sz w:val="24"/>
                <w:szCs w:val="24"/>
                <w:lang w:val="en-US" w:eastAsia="zh-CN"/>
              </w:rPr>
            </w:pPr>
            <w:r>
              <w:rPr>
                <w:rFonts w:hint="eastAsia" w:cs="仿宋_GB2312" w:asciiTheme="minorEastAsia" w:hAnsiTheme="minorEastAsia" w:eastAsiaTheme="minorEastAsia"/>
                <w:color w:val="auto"/>
                <w:sz w:val="24"/>
                <w:szCs w:val="24"/>
                <w:lang w:val="en-US" w:eastAsia="zh-CN"/>
              </w:rPr>
              <w:t>0.90</w:t>
            </w:r>
          </w:p>
        </w:tc>
        <w:tc>
          <w:tcPr>
            <w:tcW w:w="3380" w:type="dxa"/>
            <w:tcBorders>
              <w:top w:val="single" w:color="auto" w:sz="4" w:space="0"/>
              <w:left w:val="nil"/>
              <w:bottom w:val="single" w:color="auto" w:sz="4" w:space="0"/>
              <w:right w:val="single" w:color="auto" w:sz="4" w:space="0"/>
            </w:tcBorders>
            <w:vAlign w:val="center"/>
          </w:tcPr>
          <w:p w14:paraId="57EC7DBE">
            <w:pPr>
              <w:spacing w:line="300" w:lineRule="exact"/>
              <w:jc w:val="center"/>
              <w:rPr>
                <w:rFonts w:hint="eastAsia" w:cs="仿宋_GB2312" w:asciiTheme="minorEastAsia" w:hAnsiTheme="minorEastAsia" w:eastAsiaTheme="minorEastAsia"/>
                <w:color w:val="auto"/>
                <w:sz w:val="24"/>
                <w:szCs w:val="24"/>
                <w:lang w:val="en-US" w:eastAsia="zh-CN"/>
              </w:rPr>
            </w:pPr>
            <w:r>
              <w:rPr>
                <w:rFonts w:hint="eastAsia" w:cs="仿宋_GB2312" w:asciiTheme="minorEastAsia" w:hAnsiTheme="minorEastAsia" w:eastAsiaTheme="minorEastAsia"/>
                <w:color w:val="auto"/>
                <w:kern w:val="0"/>
                <w:sz w:val="24"/>
                <w:szCs w:val="24"/>
              </w:rPr>
              <w:t>0.4</w:t>
            </w:r>
            <w:r>
              <w:rPr>
                <w:rFonts w:hint="eastAsia" w:cs="仿宋_GB2312" w:asciiTheme="minorEastAsia" w:hAnsiTheme="minorEastAsia" w:eastAsiaTheme="minorEastAsia"/>
                <w:color w:val="auto"/>
                <w:kern w:val="0"/>
                <w:sz w:val="24"/>
                <w:szCs w:val="24"/>
                <w:lang w:val="en-US" w:eastAsia="zh-CN"/>
              </w:rPr>
              <w:t>0</w:t>
            </w:r>
          </w:p>
        </w:tc>
      </w:tr>
    </w:tbl>
    <w:p w14:paraId="0DF77F33">
      <w:pPr>
        <w:keepNext w:val="0"/>
        <w:keepLines w:val="0"/>
        <w:pageBreakBefore w:val="0"/>
        <w:widowControl w:val="0"/>
        <w:kinsoku/>
        <w:wordWrap/>
        <w:overflowPunct/>
        <w:topLinePunct w:val="0"/>
        <w:autoSpaceDE/>
        <w:autoSpaceDN/>
        <w:bidi w:val="0"/>
        <w:adjustRightInd/>
        <w:snapToGrid/>
        <w:spacing w:line="570" w:lineRule="exact"/>
        <w:ind w:firstLine="627" w:firstLineChars="200"/>
        <w:textAlignment w:val="auto"/>
        <w:rPr>
          <w:rFonts w:hint="eastAsia" w:ascii="仿宋_GB2312" w:hAnsi="仿宋_GB2312" w:eastAsia="仿宋_GB2312" w:cs="仿宋_GB2312"/>
          <w:color w:val="auto"/>
          <w:spacing w:val="-4"/>
          <w:sz w:val="32"/>
          <w:szCs w:val="32"/>
        </w:rPr>
      </w:pPr>
      <w:r>
        <w:rPr>
          <w:rFonts w:hint="eastAsia" w:ascii="仿宋_GB2312" w:hAnsi="仿宋_GB2312" w:eastAsia="仿宋_GB2312" w:cs="仿宋_GB2312"/>
          <w:b/>
          <w:color w:val="auto"/>
          <w:spacing w:val="-4"/>
          <w:sz w:val="32"/>
          <w:szCs w:val="32"/>
        </w:rPr>
        <w:t>备注：</w:t>
      </w:r>
      <w:r>
        <w:rPr>
          <w:rFonts w:hint="eastAsia" w:ascii="仿宋_GB2312" w:hAnsi="仿宋_GB2312" w:eastAsia="仿宋_GB2312" w:cs="仿宋_GB2312"/>
          <w:color w:val="auto"/>
          <w:spacing w:val="-4"/>
          <w:sz w:val="32"/>
          <w:szCs w:val="32"/>
        </w:rPr>
        <w:t>1.物业服务</w:t>
      </w:r>
      <w:r>
        <w:rPr>
          <w:rFonts w:hint="eastAsia" w:ascii="仿宋_GB2312" w:hAnsi="仿宋_GB2312" w:eastAsia="仿宋_GB2312" w:cs="仿宋_GB2312"/>
          <w:color w:val="auto"/>
          <w:spacing w:val="-4"/>
          <w:sz w:val="32"/>
          <w:szCs w:val="32"/>
          <w:lang w:eastAsia="zh-CN"/>
        </w:rPr>
        <w:t>费</w:t>
      </w:r>
      <w:r>
        <w:rPr>
          <w:rFonts w:hint="eastAsia" w:ascii="仿宋_GB2312" w:hAnsi="仿宋_GB2312" w:eastAsia="仿宋_GB2312" w:cs="仿宋_GB2312"/>
          <w:color w:val="auto"/>
          <w:spacing w:val="-4"/>
          <w:sz w:val="32"/>
          <w:szCs w:val="32"/>
        </w:rPr>
        <w:t>收费等级标准依据铜川市住房和城乡建设局关于印发《铜川市住宅小区物业服务指导标准（试行）》的通知（铜住建发</w:t>
      </w:r>
      <w:r>
        <w:rPr>
          <w:rFonts w:hint="eastAsia" w:ascii="仿宋_GB2312" w:hAnsi="仿宋_GB2312" w:eastAsia="仿宋_GB2312" w:cs="仿宋_GB2312"/>
          <w:color w:val="000000"/>
          <w:kern w:val="0"/>
          <w:sz w:val="32"/>
          <w:szCs w:val="32"/>
        </w:rPr>
        <w:t>〔20</w:t>
      </w:r>
      <w:r>
        <w:rPr>
          <w:rFonts w:hint="eastAsia" w:ascii="仿宋_GB2312" w:hAnsi="仿宋_GB2312" w:eastAsia="仿宋_GB2312" w:cs="仿宋_GB2312"/>
          <w:color w:val="000000"/>
          <w:kern w:val="0"/>
          <w:sz w:val="32"/>
          <w:szCs w:val="32"/>
          <w:lang w:val="en-US" w:eastAsia="zh-CN"/>
        </w:rPr>
        <w:t>21</w:t>
      </w:r>
      <w:r>
        <w:rPr>
          <w:rFonts w:hint="eastAsia" w:ascii="仿宋_GB2312" w:hAnsi="仿宋_GB2312" w:eastAsia="仿宋_GB2312" w:cs="仿宋_GB2312"/>
          <w:color w:val="000000"/>
          <w:kern w:val="0"/>
          <w:sz w:val="32"/>
          <w:szCs w:val="32"/>
        </w:rPr>
        <w:t>〕</w:t>
      </w:r>
      <w:r>
        <w:rPr>
          <w:rFonts w:hint="eastAsia" w:ascii="仿宋_GB2312" w:hAnsi="仿宋_GB2312" w:eastAsia="仿宋_GB2312" w:cs="仿宋_GB2312"/>
          <w:color w:val="auto"/>
          <w:spacing w:val="-4"/>
          <w:sz w:val="32"/>
          <w:szCs w:val="32"/>
          <w:lang w:val="en-US" w:eastAsia="zh-CN"/>
        </w:rPr>
        <w:t>62</w:t>
      </w:r>
      <w:r>
        <w:rPr>
          <w:rFonts w:hint="eastAsia" w:ascii="仿宋_GB2312" w:hAnsi="仿宋_GB2312" w:eastAsia="仿宋_GB2312" w:cs="仿宋_GB2312"/>
          <w:color w:val="auto"/>
          <w:spacing w:val="-4"/>
          <w:sz w:val="32"/>
          <w:szCs w:val="32"/>
        </w:rPr>
        <w:t>号），按照质价相符的原则制定，物业服务达不到三级服务标准的，收费按等外标准收取。</w:t>
      </w:r>
    </w:p>
    <w:p w14:paraId="1187132F">
      <w:pPr>
        <w:keepNext w:val="0"/>
        <w:keepLines w:val="0"/>
        <w:pageBreakBefore w:val="0"/>
        <w:widowControl w:val="0"/>
        <w:kinsoku/>
        <w:wordWrap/>
        <w:overflowPunct/>
        <w:topLinePunct w:val="0"/>
        <w:autoSpaceDE/>
        <w:autoSpaceDN/>
        <w:bidi w:val="0"/>
        <w:adjustRightInd/>
        <w:snapToGrid/>
        <w:spacing w:line="570" w:lineRule="exact"/>
        <w:ind w:firstLine="624" w:firstLineChars="200"/>
        <w:textAlignment w:val="auto"/>
        <w:rPr>
          <w:rFonts w:hint="eastAsia" w:ascii="仿宋_GB2312" w:eastAsia="仿宋_GB2312"/>
          <w:color w:val="auto"/>
          <w:spacing w:val="-4"/>
          <w:sz w:val="32"/>
          <w:szCs w:val="32"/>
        </w:rPr>
      </w:pPr>
      <w:r>
        <w:rPr>
          <w:rFonts w:hint="eastAsia" w:ascii="仿宋_GB2312" w:hAnsi="仿宋_GB2312" w:eastAsia="仿宋_GB2312" w:cs="仿宋_GB2312"/>
          <w:color w:val="auto"/>
          <w:spacing w:val="-4"/>
          <w:sz w:val="32"/>
          <w:szCs w:val="32"/>
          <w:lang w:val="en-US" w:eastAsia="zh-CN"/>
        </w:rPr>
        <w:t>2</w:t>
      </w:r>
      <w:r>
        <w:rPr>
          <w:rFonts w:hint="eastAsia" w:ascii="仿宋_GB2312" w:hAnsi="仿宋_GB2312" w:eastAsia="仿宋_GB2312" w:cs="仿宋_GB2312"/>
          <w:color w:val="auto"/>
          <w:spacing w:val="-4"/>
          <w:sz w:val="32"/>
          <w:szCs w:val="32"/>
        </w:rPr>
        <w:t>.</w:t>
      </w:r>
      <w:r>
        <w:rPr>
          <w:rFonts w:hint="eastAsia" w:ascii="仿宋_GB2312" w:eastAsia="仿宋_GB2312" w:cs="仿宋_GB2312"/>
          <w:color w:val="auto"/>
          <w:spacing w:val="-4"/>
          <w:sz w:val="32"/>
          <w:szCs w:val="32"/>
        </w:rPr>
        <w:t>高层指七层以上（含七层）带电梯的住宅，七层不带电梯的参照多层收费标准；多层指六层以下（含六层）不带电梯的住宅，六层及以下带电梯按照不高于高层</w:t>
      </w:r>
      <w:r>
        <w:rPr>
          <w:rFonts w:hint="eastAsia" w:ascii="仿宋_GB2312" w:eastAsia="仿宋_GB2312" w:cs="仿宋_GB2312"/>
          <w:color w:val="auto"/>
          <w:spacing w:val="-4"/>
          <w:sz w:val="32"/>
          <w:szCs w:val="32"/>
          <w:lang w:eastAsia="zh-CN"/>
        </w:rPr>
        <w:t>等外标准（</w:t>
      </w:r>
      <w:r>
        <w:rPr>
          <w:rFonts w:hint="eastAsia" w:ascii="仿宋_GB2312" w:eastAsia="仿宋_GB2312" w:cs="仿宋_GB2312"/>
          <w:color w:val="auto"/>
          <w:spacing w:val="-4"/>
          <w:sz w:val="32"/>
          <w:szCs w:val="32"/>
          <w:lang w:val="en-US" w:eastAsia="zh-CN"/>
        </w:rPr>
        <w:t>0.90</w:t>
      </w:r>
      <w:r>
        <w:rPr>
          <w:rFonts w:hint="eastAsia" w:ascii="仿宋_GB2312" w:eastAsia="仿宋_GB2312" w:cs="仿宋_GB2312"/>
          <w:color w:val="auto"/>
          <w:spacing w:val="-4"/>
          <w:sz w:val="32"/>
          <w:szCs w:val="32"/>
        </w:rPr>
        <w:t>元/平方米·月</w:t>
      </w:r>
      <w:r>
        <w:rPr>
          <w:rFonts w:hint="eastAsia" w:ascii="仿宋_GB2312" w:eastAsia="仿宋_GB2312" w:cs="仿宋_GB2312"/>
          <w:color w:val="auto"/>
          <w:spacing w:val="-4"/>
          <w:sz w:val="32"/>
          <w:szCs w:val="32"/>
          <w:lang w:eastAsia="zh-CN"/>
        </w:rPr>
        <w:t>）</w:t>
      </w:r>
      <w:r>
        <w:rPr>
          <w:rFonts w:hint="eastAsia" w:ascii="仿宋_GB2312" w:eastAsia="仿宋_GB2312" w:cs="仿宋_GB2312"/>
          <w:color w:val="auto"/>
          <w:spacing w:val="-4"/>
          <w:sz w:val="32"/>
          <w:szCs w:val="32"/>
        </w:rPr>
        <w:t>收费。老旧小区改造后带电梯的物业服务费（享受电梯服务的业主）按照不高于高层</w:t>
      </w:r>
      <w:r>
        <w:rPr>
          <w:rFonts w:hint="eastAsia" w:ascii="仿宋_GB2312" w:eastAsia="仿宋_GB2312" w:cs="仿宋_GB2312"/>
          <w:color w:val="auto"/>
          <w:spacing w:val="-4"/>
          <w:sz w:val="32"/>
          <w:szCs w:val="32"/>
          <w:lang w:eastAsia="zh-CN"/>
        </w:rPr>
        <w:t>等外标准（</w:t>
      </w:r>
      <w:r>
        <w:rPr>
          <w:rFonts w:hint="eastAsia" w:ascii="仿宋_GB2312" w:eastAsia="仿宋_GB2312" w:cs="仿宋_GB2312"/>
          <w:color w:val="auto"/>
          <w:spacing w:val="-4"/>
          <w:sz w:val="32"/>
          <w:szCs w:val="32"/>
          <w:lang w:val="en-US" w:eastAsia="zh-CN"/>
        </w:rPr>
        <w:t>0.90</w:t>
      </w:r>
      <w:r>
        <w:rPr>
          <w:rFonts w:hint="eastAsia" w:ascii="仿宋_GB2312" w:eastAsia="仿宋_GB2312" w:cs="仿宋_GB2312"/>
          <w:color w:val="auto"/>
          <w:spacing w:val="-4"/>
          <w:kern w:val="0"/>
          <w:sz w:val="32"/>
          <w:szCs w:val="32"/>
        </w:rPr>
        <w:t>元/平方米·月</w:t>
      </w:r>
      <w:r>
        <w:rPr>
          <w:rFonts w:hint="eastAsia" w:ascii="仿宋_GB2312" w:eastAsia="仿宋_GB2312" w:cs="仿宋_GB2312"/>
          <w:color w:val="auto"/>
          <w:spacing w:val="-4"/>
          <w:sz w:val="32"/>
          <w:szCs w:val="32"/>
          <w:lang w:eastAsia="zh-CN"/>
        </w:rPr>
        <w:t>）</w:t>
      </w:r>
      <w:r>
        <w:rPr>
          <w:rFonts w:hint="eastAsia" w:ascii="仿宋_GB2312" w:eastAsia="仿宋_GB2312" w:cs="仿宋_GB2312"/>
          <w:color w:val="auto"/>
          <w:spacing w:val="-4"/>
          <w:kern w:val="0"/>
          <w:sz w:val="32"/>
          <w:szCs w:val="32"/>
        </w:rPr>
        <w:t>收费或由享受电梯服务的业主自行管理并分</w:t>
      </w:r>
      <w:r>
        <w:rPr>
          <w:rFonts w:hint="eastAsia" w:ascii="仿宋_GB2312" w:eastAsia="仿宋_GB2312" w:cs="仿宋_GB2312"/>
          <w:color w:val="auto"/>
          <w:spacing w:val="-4"/>
          <w:kern w:val="0"/>
          <w:sz w:val="32"/>
          <w:szCs w:val="32"/>
          <w:lang w:eastAsia="zh-CN"/>
        </w:rPr>
        <w:t>担</w:t>
      </w:r>
      <w:r>
        <w:rPr>
          <w:rFonts w:hint="eastAsia" w:ascii="仿宋_GB2312" w:eastAsia="仿宋_GB2312" w:cs="仿宋_GB2312"/>
          <w:color w:val="auto"/>
          <w:spacing w:val="-4"/>
          <w:kern w:val="0"/>
          <w:sz w:val="32"/>
          <w:szCs w:val="32"/>
        </w:rPr>
        <w:t>电梯的相关费用（物业</w:t>
      </w:r>
      <w:r>
        <w:rPr>
          <w:rFonts w:hint="eastAsia" w:ascii="仿宋_GB2312" w:eastAsia="仿宋_GB2312" w:cs="仿宋_GB2312"/>
          <w:color w:val="auto"/>
          <w:spacing w:val="-4"/>
          <w:kern w:val="0"/>
          <w:sz w:val="32"/>
          <w:szCs w:val="32"/>
          <w:lang w:eastAsia="zh-CN"/>
        </w:rPr>
        <w:t>服务人</w:t>
      </w:r>
      <w:r>
        <w:rPr>
          <w:rFonts w:hint="eastAsia" w:ascii="仿宋_GB2312" w:eastAsia="仿宋_GB2312" w:cs="仿宋_GB2312"/>
          <w:color w:val="auto"/>
          <w:spacing w:val="-4"/>
          <w:kern w:val="0"/>
          <w:sz w:val="32"/>
          <w:szCs w:val="32"/>
        </w:rPr>
        <w:t>按照对应的多层物业服务</w:t>
      </w:r>
      <w:r>
        <w:rPr>
          <w:rFonts w:hint="eastAsia" w:ascii="仿宋_GB2312" w:eastAsia="仿宋_GB2312" w:cs="仿宋_GB2312"/>
          <w:color w:val="auto"/>
          <w:spacing w:val="-4"/>
          <w:kern w:val="0"/>
          <w:sz w:val="32"/>
          <w:szCs w:val="32"/>
          <w:lang w:eastAsia="zh-CN"/>
        </w:rPr>
        <w:t>等级</w:t>
      </w:r>
      <w:r>
        <w:rPr>
          <w:rFonts w:hint="eastAsia" w:ascii="仿宋_GB2312" w:eastAsia="仿宋_GB2312" w:cs="仿宋_GB2312"/>
          <w:color w:val="auto"/>
          <w:spacing w:val="-4"/>
          <w:kern w:val="0"/>
          <w:sz w:val="32"/>
          <w:szCs w:val="32"/>
        </w:rPr>
        <w:t>标准收费）。</w:t>
      </w:r>
    </w:p>
    <w:p w14:paraId="6DDAE87C">
      <w:pPr>
        <w:keepNext w:val="0"/>
        <w:keepLines w:val="0"/>
        <w:pageBreakBefore w:val="0"/>
        <w:widowControl w:val="0"/>
        <w:kinsoku/>
        <w:wordWrap/>
        <w:overflowPunct/>
        <w:topLinePunct w:val="0"/>
        <w:autoSpaceDE/>
        <w:autoSpaceDN/>
        <w:bidi w:val="0"/>
        <w:adjustRightInd/>
        <w:snapToGrid/>
        <w:spacing w:line="570" w:lineRule="exact"/>
        <w:ind w:firstLine="616" w:firstLineChars="200"/>
        <w:textAlignment w:val="auto"/>
        <w:rPr>
          <w:rFonts w:hint="eastAsia" w:ascii="仿宋_GB2312" w:hAnsi="仿宋_GB2312" w:eastAsia="仿宋_GB2312" w:cs="仿宋_GB2312"/>
          <w:color w:val="auto"/>
          <w:spacing w:val="-6"/>
          <w:sz w:val="32"/>
          <w:szCs w:val="32"/>
        </w:rPr>
      </w:pPr>
      <w:r>
        <w:rPr>
          <w:rFonts w:hint="eastAsia" w:ascii="仿宋_GB2312" w:hAnsi="仿宋_GB2312" w:eastAsia="仿宋_GB2312" w:cs="仿宋_GB2312"/>
          <w:color w:val="auto"/>
          <w:spacing w:val="-6"/>
          <w:sz w:val="32"/>
          <w:szCs w:val="32"/>
        </w:rPr>
        <w:t>3.上述收费标准为物业服务“一费制”（包含基础物业费、公摊</w:t>
      </w:r>
      <w:r>
        <w:rPr>
          <w:rFonts w:hint="eastAsia" w:ascii="仿宋_GB2312" w:hAnsi="仿宋_GB2312" w:eastAsia="仿宋_GB2312" w:cs="仿宋_GB2312"/>
          <w:color w:val="auto"/>
          <w:spacing w:val="-6"/>
          <w:sz w:val="32"/>
          <w:szCs w:val="32"/>
          <w:lang w:eastAsia="zh-CN"/>
        </w:rPr>
        <w:t>水</w:t>
      </w:r>
      <w:r>
        <w:rPr>
          <w:rFonts w:hint="eastAsia" w:ascii="仿宋_GB2312" w:hAnsi="仿宋_GB2312" w:eastAsia="仿宋_GB2312" w:cs="仿宋_GB2312"/>
          <w:color w:val="auto"/>
          <w:spacing w:val="-6"/>
          <w:sz w:val="32"/>
          <w:szCs w:val="32"/>
        </w:rPr>
        <w:t>电费、电梯电费、电梯维护保养及年检费、消防等费用）最高限价，物业服务</w:t>
      </w:r>
      <w:r>
        <w:rPr>
          <w:rFonts w:hint="eastAsia" w:ascii="仿宋_GB2312" w:hAnsi="仿宋_GB2312" w:eastAsia="仿宋_GB2312" w:cs="仿宋_GB2312"/>
          <w:color w:val="auto"/>
          <w:spacing w:val="-6"/>
          <w:sz w:val="32"/>
          <w:szCs w:val="32"/>
          <w:lang w:eastAsia="zh-CN"/>
        </w:rPr>
        <w:t>人</w:t>
      </w:r>
      <w:r>
        <w:rPr>
          <w:rFonts w:hint="eastAsia" w:ascii="仿宋_GB2312" w:hAnsi="仿宋_GB2312" w:eastAsia="仿宋_GB2312" w:cs="仿宋_GB2312"/>
          <w:color w:val="auto"/>
          <w:spacing w:val="-6"/>
          <w:sz w:val="32"/>
          <w:szCs w:val="32"/>
        </w:rPr>
        <w:t>在各等级收费标准确定时不得突破，下浮不限。对高层住户可按各等级收费标准执行或按照以</w:t>
      </w:r>
      <w:r>
        <w:rPr>
          <w:rFonts w:hint="eastAsia" w:ascii="仿宋_GB2312" w:hAnsi="仿宋_GB2312" w:eastAsia="仿宋_GB2312" w:cs="仿宋_GB2312"/>
          <w:color w:val="auto"/>
          <w:spacing w:val="-6"/>
          <w:sz w:val="32"/>
          <w:szCs w:val="32"/>
          <w:lang w:eastAsia="zh-CN"/>
        </w:rPr>
        <w:t>整单元增减代数和为零的原则，以</w:t>
      </w:r>
      <w:r>
        <w:rPr>
          <w:rFonts w:hint="eastAsia" w:ascii="仿宋_GB2312" w:hAnsi="仿宋_GB2312" w:eastAsia="仿宋_GB2312" w:cs="仿宋_GB2312"/>
          <w:color w:val="auto"/>
          <w:spacing w:val="-6"/>
          <w:sz w:val="32"/>
          <w:szCs w:val="32"/>
        </w:rPr>
        <w:t>高层中间层为标准，对应上下同时加减，总体不超过基准价的方式收费。</w:t>
      </w:r>
      <w:r>
        <w:rPr>
          <w:rFonts w:hint="eastAsia" w:ascii="仿宋_GB2312" w:hAnsi="仿宋_GB2312" w:eastAsia="仿宋_GB2312" w:cs="仿宋_GB2312"/>
          <w:color w:val="auto"/>
          <w:spacing w:val="-6"/>
          <w:sz w:val="32"/>
          <w:szCs w:val="32"/>
          <w:lang w:eastAsia="zh-CN"/>
        </w:rPr>
        <w:t>实行物业服务收费“一费制”的小区，</w:t>
      </w:r>
      <w:r>
        <w:rPr>
          <w:rFonts w:hint="eastAsia" w:ascii="仿宋_GB2312" w:hAnsi="仿宋_GB2312" w:eastAsia="仿宋_GB2312" w:cs="仿宋_GB2312"/>
          <w:color w:val="auto"/>
          <w:spacing w:val="-6"/>
          <w:sz w:val="32"/>
          <w:szCs w:val="32"/>
        </w:rPr>
        <w:t>带电梯的住宅没有设置地下车库的，一楼住户物业</w:t>
      </w:r>
      <w:r>
        <w:rPr>
          <w:rFonts w:hint="eastAsia" w:ascii="仿宋_GB2312" w:hAnsi="仿宋_GB2312" w:eastAsia="仿宋_GB2312" w:cs="仿宋_GB2312"/>
          <w:color w:val="auto"/>
          <w:spacing w:val="-6"/>
          <w:sz w:val="32"/>
          <w:szCs w:val="32"/>
          <w:lang w:eastAsia="zh-CN"/>
        </w:rPr>
        <w:t>服务费</w:t>
      </w:r>
      <w:r>
        <w:rPr>
          <w:rFonts w:hint="eastAsia" w:ascii="仿宋_GB2312" w:hAnsi="仿宋_GB2312" w:eastAsia="仿宋_GB2312" w:cs="仿宋_GB2312"/>
          <w:color w:val="auto"/>
          <w:spacing w:val="-6"/>
          <w:sz w:val="32"/>
          <w:szCs w:val="32"/>
        </w:rPr>
        <w:t>减免0.15元</w:t>
      </w:r>
      <w:r>
        <w:rPr>
          <w:rFonts w:hint="eastAsia" w:ascii="仿宋_GB2312" w:hAnsi="仿宋_GB2312" w:eastAsia="仿宋_GB2312" w:cs="仿宋_GB2312"/>
          <w:color w:val="auto"/>
          <w:spacing w:val="-6"/>
          <w:sz w:val="32"/>
          <w:szCs w:val="32"/>
          <w:lang w:val="en-US" w:eastAsia="zh-CN"/>
        </w:rPr>
        <w:t>/</w:t>
      </w:r>
      <w:r>
        <w:rPr>
          <w:rFonts w:hint="eastAsia" w:ascii="仿宋_GB2312" w:hAnsi="仿宋_GB2312" w:eastAsia="仿宋_GB2312" w:cs="仿宋_GB2312"/>
          <w:color w:val="auto"/>
          <w:spacing w:val="-6"/>
          <w:sz w:val="32"/>
          <w:szCs w:val="32"/>
        </w:rPr>
        <w:t>平方米</w:t>
      </w:r>
      <w:r>
        <w:rPr>
          <w:rFonts w:hint="eastAsia" w:ascii="仿宋_GB2312" w:eastAsia="仿宋_GB2312" w:cs="仿宋_GB2312"/>
          <w:color w:val="auto"/>
          <w:spacing w:val="-4"/>
          <w:kern w:val="0"/>
          <w:sz w:val="32"/>
          <w:szCs w:val="32"/>
        </w:rPr>
        <w:t>·月</w:t>
      </w:r>
      <w:r>
        <w:rPr>
          <w:rFonts w:hint="eastAsia" w:ascii="仿宋_GB2312" w:hAnsi="仿宋_GB2312" w:eastAsia="仿宋_GB2312" w:cs="仿宋_GB2312"/>
          <w:color w:val="auto"/>
          <w:spacing w:val="-6"/>
          <w:sz w:val="32"/>
          <w:szCs w:val="32"/>
        </w:rPr>
        <w:t>。物业</w:t>
      </w:r>
      <w:r>
        <w:rPr>
          <w:rFonts w:hint="eastAsia" w:ascii="仿宋_GB2312" w:hAnsi="仿宋_GB2312" w:eastAsia="仿宋_GB2312" w:cs="仿宋_GB2312"/>
          <w:color w:val="auto"/>
          <w:spacing w:val="-6"/>
          <w:sz w:val="32"/>
          <w:szCs w:val="32"/>
          <w:lang w:eastAsia="zh-CN"/>
        </w:rPr>
        <w:t>服务人</w:t>
      </w:r>
      <w:r>
        <w:rPr>
          <w:rFonts w:hint="eastAsia" w:ascii="仿宋_GB2312" w:hAnsi="仿宋_GB2312" w:eastAsia="仿宋_GB2312" w:cs="仿宋_GB2312"/>
          <w:color w:val="auto"/>
          <w:spacing w:val="-6"/>
          <w:sz w:val="32"/>
          <w:szCs w:val="32"/>
        </w:rPr>
        <w:t>提供的服务超过一级物业服务标准的，可在相应一级物业服务收费标准的基础上上浮不超过10%。</w:t>
      </w:r>
    </w:p>
    <w:p w14:paraId="12A7F93C">
      <w:pPr>
        <w:spacing w:line="520" w:lineRule="exact"/>
        <w:jc w:val="center"/>
        <w:outlineLvl w:val="0"/>
        <w:rPr>
          <w:rFonts w:hint="eastAsia" w:ascii="方正小标宋简体" w:hAnsi="方正小标宋简体" w:eastAsia="方正小标宋简体" w:cs="方正小标宋简体"/>
          <w:b w:val="0"/>
          <w:bCs w:val="0"/>
          <w:color w:val="auto"/>
          <w:sz w:val="36"/>
          <w:szCs w:val="36"/>
        </w:rPr>
      </w:pPr>
    </w:p>
    <w:p w14:paraId="48AEF6C9">
      <w:pPr>
        <w:keepNext w:val="0"/>
        <w:keepLines w:val="0"/>
        <w:pageBreakBefore w:val="0"/>
        <w:widowControl w:val="0"/>
        <w:kinsoku/>
        <w:wordWrap/>
        <w:overflowPunct/>
        <w:topLinePunct w:val="0"/>
        <w:autoSpaceDE/>
        <w:autoSpaceDN/>
        <w:bidi w:val="0"/>
        <w:adjustRightInd/>
        <w:snapToGrid/>
        <w:spacing w:before="157" w:beforeLines="50" w:after="157" w:afterLines="50" w:line="300" w:lineRule="exact"/>
        <w:jc w:val="center"/>
        <w:textAlignment w:val="auto"/>
        <w:rPr>
          <w:rFonts w:hint="eastAsia" w:cs="仿宋_GB2312" w:asciiTheme="minorEastAsia" w:hAnsiTheme="minorEastAsia" w:eastAsiaTheme="minorEastAsia"/>
          <w:b/>
          <w:bCs/>
          <w:color w:val="auto"/>
          <w:kern w:val="0"/>
          <w:sz w:val="28"/>
          <w:szCs w:val="28"/>
        </w:rPr>
      </w:pPr>
      <w:r>
        <w:rPr>
          <w:rFonts w:hint="eastAsia" w:cs="仿宋_GB2312" w:asciiTheme="minorEastAsia" w:hAnsiTheme="minorEastAsia" w:eastAsiaTheme="minorEastAsia"/>
          <w:b/>
          <w:bCs/>
          <w:color w:val="auto"/>
          <w:kern w:val="0"/>
          <w:sz w:val="28"/>
          <w:szCs w:val="28"/>
        </w:rPr>
        <w:t>物业管理区域内机动车停放服务费政府指导价标准</w:t>
      </w:r>
    </w:p>
    <w:tbl>
      <w:tblPr>
        <w:tblStyle w:val="5"/>
        <w:tblW w:w="8859" w:type="dxa"/>
        <w:jc w:val="center"/>
        <w:tblLayout w:type="fixed"/>
        <w:tblCellMar>
          <w:top w:w="0" w:type="dxa"/>
          <w:left w:w="0" w:type="dxa"/>
          <w:bottom w:w="0" w:type="dxa"/>
          <w:right w:w="0" w:type="dxa"/>
        </w:tblCellMar>
      </w:tblPr>
      <w:tblGrid>
        <w:gridCol w:w="3050"/>
        <w:gridCol w:w="1963"/>
        <w:gridCol w:w="1794"/>
        <w:gridCol w:w="2052"/>
      </w:tblGrid>
      <w:tr w14:paraId="37B82B97">
        <w:tblPrEx>
          <w:tblCellMar>
            <w:top w:w="0" w:type="dxa"/>
            <w:left w:w="0" w:type="dxa"/>
            <w:bottom w:w="0" w:type="dxa"/>
            <w:right w:w="0" w:type="dxa"/>
          </w:tblCellMar>
        </w:tblPrEx>
        <w:trPr>
          <w:trHeight w:val="1019" w:hRule="atLeast"/>
          <w:jc w:val="center"/>
        </w:trPr>
        <w:tc>
          <w:tcPr>
            <w:tcW w:w="3050" w:type="dxa"/>
            <w:tcBorders>
              <w:top w:val="single" w:color="auto" w:sz="4" w:space="0"/>
              <w:left w:val="single" w:color="auto" w:sz="4" w:space="0"/>
              <w:bottom w:val="single" w:color="auto" w:sz="4" w:space="0"/>
              <w:right w:val="single" w:color="auto" w:sz="4" w:space="0"/>
              <w:tl2br w:val="single" w:color="auto" w:sz="4" w:space="0"/>
            </w:tcBorders>
            <w:shd w:val="clear" w:color="auto" w:fill="auto"/>
            <w:noWrap/>
            <w:tcMar>
              <w:top w:w="15" w:type="dxa"/>
              <w:left w:w="15" w:type="dxa"/>
              <w:right w:w="15" w:type="dxa"/>
            </w:tcMar>
            <w:vAlign w:val="center"/>
          </w:tcPr>
          <w:p w14:paraId="691CF515">
            <w:pPr>
              <w:widowControl/>
              <w:spacing w:line="300" w:lineRule="exact"/>
              <w:jc w:val="center"/>
              <w:textAlignment w:val="center"/>
              <w:rPr>
                <w:rFonts w:cs="仿宋_GB2312" w:asciiTheme="minorEastAsia" w:hAnsiTheme="minorEastAsia" w:eastAsiaTheme="minorEastAsia"/>
                <w:b/>
                <w:bCs/>
                <w:color w:val="auto"/>
                <w:kern w:val="0"/>
                <w:sz w:val="24"/>
                <w:szCs w:val="24"/>
              </w:rPr>
            </w:pPr>
            <w:r>
              <w:rPr>
                <w:rFonts w:hint="eastAsia" w:cs="仿宋_GB2312" w:asciiTheme="minorEastAsia" w:hAnsiTheme="minorEastAsia" w:eastAsiaTheme="minorEastAsia"/>
                <w:b/>
                <w:bCs/>
                <w:color w:val="auto"/>
                <w:kern w:val="0"/>
                <w:sz w:val="24"/>
                <w:szCs w:val="24"/>
              </w:rPr>
              <w:t xml:space="preserve">        停车场类型</w:t>
            </w:r>
          </w:p>
          <w:p w14:paraId="6104F969">
            <w:pPr>
              <w:widowControl/>
              <w:spacing w:line="300" w:lineRule="exact"/>
              <w:textAlignment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kern w:val="0"/>
                <w:sz w:val="24"/>
                <w:szCs w:val="24"/>
              </w:rPr>
              <w:t>收费标准</w:t>
            </w:r>
          </w:p>
        </w:tc>
        <w:tc>
          <w:tcPr>
            <w:tcW w:w="3757" w:type="dxa"/>
            <w:gridSpan w:val="2"/>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949A5B1">
            <w:pPr>
              <w:spacing w:line="300" w:lineRule="exact"/>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kern w:val="0"/>
                <w:sz w:val="24"/>
                <w:szCs w:val="24"/>
              </w:rPr>
              <w:t>室内</w:t>
            </w:r>
          </w:p>
        </w:tc>
        <w:tc>
          <w:tcPr>
            <w:tcW w:w="20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2951246">
            <w:pPr>
              <w:spacing w:line="300" w:lineRule="exact"/>
              <w:jc w:val="center"/>
              <w:rPr>
                <w:rFonts w:cs="仿宋_GB2312" w:asciiTheme="minorEastAsia" w:hAnsiTheme="minorEastAsia" w:eastAsiaTheme="minorEastAsia"/>
                <w:b/>
                <w:bCs/>
                <w:color w:val="auto"/>
                <w:sz w:val="24"/>
                <w:szCs w:val="24"/>
              </w:rPr>
            </w:pPr>
            <w:r>
              <w:rPr>
                <w:rFonts w:hint="eastAsia" w:cs="仿宋_GB2312" w:asciiTheme="minorEastAsia" w:hAnsiTheme="minorEastAsia" w:eastAsiaTheme="minorEastAsia"/>
                <w:b/>
                <w:bCs/>
                <w:color w:val="auto"/>
                <w:kern w:val="0"/>
                <w:sz w:val="24"/>
                <w:szCs w:val="24"/>
              </w:rPr>
              <w:t>露天</w:t>
            </w:r>
          </w:p>
        </w:tc>
      </w:tr>
      <w:tr w14:paraId="6D4A5434">
        <w:tblPrEx>
          <w:tblCellMar>
            <w:top w:w="0" w:type="dxa"/>
            <w:left w:w="0" w:type="dxa"/>
            <w:bottom w:w="0" w:type="dxa"/>
            <w:right w:w="0" w:type="dxa"/>
          </w:tblCellMar>
        </w:tblPrEx>
        <w:trPr>
          <w:trHeight w:val="650" w:hRule="atLeast"/>
          <w:jc w:val="center"/>
        </w:trPr>
        <w:tc>
          <w:tcPr>
            <w:tcW w:w="3050"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835CFEA">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按月（元/车位·月）</w:t>
            </w:r>
          </w:p>
        </w:tc>
        <w:tc>
          <w:tcPr>
            <w:tcW w:w="19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A59B75C">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一类</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AE44B90">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二类</w:t>
            </w:r>
          </w:p>
        </w:tc>
        <w:tc>
          <w:tcPr>
            <w:tcW w:w="2052" w:type="dxa"/>
            <w:vMerge w:val="restart"/>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C7994CA">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30</w:t>
            </w:r>
          </w:p>
        </w:tc>
      </w:tr>
      <w:tr w14:paraId="30D60B4E">
        <w:tblPrEx>
          <w:tblCellMar>
            <w:top w:w="0" w:type="dxa"/>
            <w:left w:w="0" w:type="dxa"/>
            <w:bottom w:w="0" w:type="dxa"/>
            <w:right w:w="0" w:type="dxa"/>
          </w:tblCellMar>
        </w:tblPrEx>
        <w:trPr>
          <w:trHeight w:val="710" w:hRule="atLeast"/>
          <w:jc w:val="center"/>
        </w:trPr>
        <w:tc>
          <w:tcPr>
            <w:tcW w:w="3050"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358D7C12">
            <w:pPr>
              <w:widowControl/>
              <w:spacing w:line="300" w:lineRule="exact"/>
              <w:jc w:val="center"/>
              <w:rPr>
                <w:rFonts w:cs="仿宋_GB2312" w:asciiTheme="minorEastAsia" w:hAnsiTheme="minorEastAsia" w:eastAsiaTheme="minorEastAsia"/>
                <w:color w:val="auto"/>
                <w:sz w:val="24"/>
                <w:szCs w:val="24"/>
              </w:rPr>
            </w:pPr>
          </w:p>
        </w:tc>
        <w:tc>
          <w:tcPr>
            <w:tcW w:w="19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68C37FAB">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lang w:val="en-US" w:eastAsia="zh-CN"/>
              </w:rPr>
              <w:t>6</w:t>
            </w:r>
            <w:r>
              <w:rPr>
                <w:rFonts w:hint="eastAsia" w:cs="仿宋_GB2312" w:asciiTheme="minorEastAsia" w:hAnsiTheme="minorEastAsia" w:eastAsiaTheme="minorEastAsia"/>
                <w:color w:val="auto"/>
                <w:kern w:val="0"/>
                <w:sz w:val="24"/>
                <w:szCs w:val="24"/>
              </w:rPr>
              <w:t>0</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736C5D6">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lang w:val="en-US" w:eastAsia="zh-CN"/>
              </w:rPr>
              <w:t>5</w:t>
            </w:r>
            <w:r>
              <w:rPr>
                <w:rFonts w:hint="eastAsia" w:cs="仿宋_GB2312" w:asciiTheme="minorEastAsia" w:hAnsiTheme="minorEastAsia" w:eastAsiaTheme="minorEastAsia"/>
                <w:color w:val="auto"/>
                <w:kern w:val="0"/>
                <w:sz w:val="24"/>
                <w:szCs w:val="24"/>
              </w:rPr>
              <w:t>0</w:t>
            </w:r>
          </w:p>
        </w:tc>
        <w:tc>
          <w:tcPr>
            <w:tcW w:w="2052" w:type="dxa"/>
            <w:vMerge w:val="continue"/>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19B7BCC7">
            <w:pPr>
              <w:widowControl/>
              <w:spacing w:line="300" w:lineRule="exact"/>
              <w:jc w:val="center"/>
              <w:rPr>
                <w:rFonts w:cs="仿宋_GB2312" w:asciiTheme="minorEastAsia" w:hAnsiTheme="minorEastAsia" w:eastAsiaTheme="minorEastAsia"/>
                <w:color w:val="auto"/>
                <w:sz w:val="24"/>
                <w:szCs w:val="24"/>
              </w:rPr>
            </w:pPr>
          </w:p>
        </w:tc>
      </w:tr>
      <w:tr w14:paraId="5EF31A2D">
        <w:tblPrEx>
          <w:tblCellMar>
            <w:top w:w="0" w:type="dxa"/>
            <w:left w:w="0" w:type="dxa"/>
            <w:bottom w:w="0" w:type="dxa"/>
            <w:right w:w="0" w:type="dxa"/>
          </w:tblCellMar>
        </w:tblPrEx>
        <w:trPr>
          <w:trHeight w:val="795" w:hRule="atLeast"/>
          <w:jc w:val="center"/>
        </w:trPr>
        <w:tc>
          <w:tcPr>
            <w:tcW w:w="305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522E6253">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按次（元/车位·次）</w:t>
            </w:r>
          </w:p>
        </w:tc>
        <w:tc>
          <w:tcPr>
            <w:tcW w:w="196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7A62DF06">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4</w:t>
            </w:r>
          </w:p>
        </w:tc>
        <w:tc>
          <w:tcPr>
            <w:tcW w:w="1794"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46AAF177">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3</w:t>
            </w:r>
          </w:p>
        </w:tc>
        <w:tc>
          <w:tcPr>
            <w:tcW w:w="2052"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right w:w="15" w:type="dxa"/>
            </w:tcMar>
            <w:vAlign w:val="center"/>
          </w:tcPr>
          <w:p w14:paraId="257BE312">
            <w:pPr>
              <w:spacing w:line="300" w:lineRule="exact"/>
              <w:jc w:val="center"/>
              <w:rPr>
                <w:rFonts w:cs="仿宋_GB2312" w:asciiTheme="minorEastAsia" w:hAnsiTheme="minorEastAsia" w:eastAsiaTheme="minorEastAsia"/>
                <w:color w:val="auto"/>
                <w:sz w:val="24"/>
                <w:szCs w:val="24"/>
              </w:rPr>
            </w:pPr>
            <w:r>
              <w:rPr>
                <w:rFonts w:hint="eastAsia" w:cs="仿宋_GB2312" w:asciiTheme="minorEastAsia" w:hAnsiTheme="minorEastAsia" w:eastAsiaTheme="minorEastAsia"/>
                <w:color w:val="auto"/>
                <w:kern w:val="0"/>
                <w:sz w:val="24"/>
                <w:szCs w:val="24"/>
              </w:rPr>
              <w:t>2</w:t>
            </w:r>
          </w:p>
        </w:tc>
      </w:tr>
    </w:tbl>
    <w:p w14:paraId="73028B2C">
      <w:pPr>
        <w:keepNext w:val="0"/>
        <w:keepLines w:val="0"/>
        <w:pageBreakBefore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b/>
          <w:color w:val="auto"/>
          <w:sz w:val="32"/>
          <w:szCs w:val="32"/>
        </w:rPr>
      </w:pPr>
      <w:r>
        <w:rPr>
          <w:rFonts w:hint="eastAsia" w:ascii="仿宋_GB2312" w:hAnsi="仿宋_GB2312" w:eastAsia="仿宋_GB2312" w:cs="仿宋_GB2312"/>
          <w:b/>
          <w:color w:val="auto"/>
          <w:sz w:val="32"/>
          <w:szCs w:val="32"/>
        </w:rPr>
        <w:t xml:space="preserve">    </w:t>
      </w:r>
    </w:p>
    <w:p w14:paraId="1C231AE2">
      <w:pPr>
        <w:keepNext w:val="0"/>
        <w:keepLines w:val="0"/>
        <w:pageBreakBefore w:val="0"/>
        <w:kinsoku/>
        <w:wordWrap/>
        <w:overflowPunct/>
        <w:topLinePunct w:val="0"/>
        <w:autoSpaceDE/>
        <w:autoSpaceDN/>
        <w:bidi w:val="0"/>
        <w:adjustRightInd/>
        <w:snapToGrid/>
        <w:spacing w:line="570" w:lineRule="exact"/>
        <w:ind w:firstLine="643" w:firstLineChars="200"/>
        <w:textAlignment w:val="auto"/>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b/>
          <w:color w:val="auto"/>
          <w:spacing w:val="0"/>
          <w:sz w:val="32"/>
          <w:szCs w:val="32"/>
        </w:rPr>
        <w:t>备注</w:t>
      </w:r>
      <w:r>
        <w:rPr>
          <w:rFonts w:hint="eastAsia" w:ascii="仿宋_GB2312" w:hAnsi="仿宋_GB2312" w:eastAsia="仿宋_GB2312" w:cs="仿宋_GB2312"/>
          <w:color w:val="auto"/>
          <w:spacing w:val="0"/>
          <w:sz w:val="32"/>
          <w:szCs w:val="32"/>
        </w:rPr>
        <w:t>：1.按次计费不分昼夜，连续停放每8小时为一次，超过第一个计次时间段后按第二次计费，依此类推。</w:t>
      </w:r>
    </w:p>
    <w:p w14:paraId="01308A28">
      <w:pPr>
        <w:keepNext w:val="0"/>
        <w:keepLines w:val="0"/>
        <w:pageBreakBefore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 xml:space="preserve">    2.上述收费标准为最高限价，下浮不限。</w:t>
      </w:r>
    </w:p>
    <w:p w14:paraId="7AD50EF4">
      <w:pPr>
        <w:keepNext w:val="0"/>
        <w:keepLines w:val="0"/>
        <w:pageBreakBefore w:val="0"/>
        <w:kinsoku/>
        <w:wordWrap/>
        <w:overflowPunct/>
        <w:topLinePunct w:val="0"/>
        <w:autoSpaceDE/>
        <w:autoSpaceDN/>
        <w:bidi w:val="0"/>
        <w:adjustRightInd/>
        <w:snapToGrid/>
        <w:spacing w:line="570" w:lineRule="exact"/>
        <w:textAlignment w:val="auto"/>
        <w:rPr>
          <w:rFonts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 xml:space="preserve">    3.住宅小区内摩托车和非机动车停车服务费实行市场调节价。</w:t>
      </w:r>
    </w:p>
    <w:p w14:paraId="3C3BED1E">
      <w:pPr>
        <w:keepNext w:val="0"/>
        <w:keepLines w:val="0"/>
        <w:pageBreakBefore w:val="0"/>
        <w:widowControl/>
        <w:kinsoku/>
        <w:wordWrap/>
        <w:overflowPunct/>
        <w:topLinePunct w:val="0"/>
        <w:autoSpaceDE/>
        <w:autoSpaceDN/>
        <w:bidi w:val="0"/>
        <w:adjustRightInd/>
        <w:snapToGrid/>
        <w:spacing w:line="570" w:lineRule="exact"/>
        <w:textAlignment w:val="auto"/>
        <w:rPr>
          <w:rFonts w:ascii="仿宋_GB2312" w:hAnsi="仿宋_GB2312" w:eastAsia="仿宋_GB2312" w:cs="仿宋_GB2312"/>
          <w:color w:val="auto"/>
          <w:spacing w:val="0"/>
          <w:sz w:val="32"/>
          <w:szCs w:val="32"/>
        </w:rPr>
      </w:pPr>
      <w:r>
        <w:rPr>
          <w:rFonts w:hint="eastAsia" w:ascii="仿宋_GB2312" w:hAnsi="仿宋_GB2312" w:eastAsia="仿宋_GB2312" w:cs="仿宋_GB2312"/>
          <w:color w:val="auto"/>
          <w:spacing w:val="0"/>
          <w:sz w:val="32"/>
          <w:szCs w:val="32"/>
        </w:rPr>
        <w:t xml:space="preserve">    4.机械停车位实行市场调节价，以停车服务合同约定的停放场所类别和标准执行。</w:t>
      </w:r>
    </w:p>
    <w:p w14:paraId="629D88AB">
      <w:pPr>
        <w:widowControl/>
        <w:spacing w:line="576" w:lineRule="exact"/>
        <w:jc w:val="left"/>
        <w:outlineLvl w:val="0"/>
        <w:rPr>
          <w:rFonts w:hint="eastAsia" w:ascii="黑体" w:hAnsi="黑体" w:eastAsia="黑体"/>
          <w:color w:val="auto"/>
          <w:sz w:val="32"/>
          <w:szCs w:val="32"/>
        </w:rPr>
      </w:pPr>
      <w:r>
        <w:rPr>
          <w:rFonts w:hint="eastAsia" w:ascii="黑体" w:hAnsi="黑体" w:eastAsia="黑体"/>
          <w:color w:val="auto"/>
          <w:sz w:val="32"/>
          <w:szCs w:val="32"/>
        </w:rPr>
        <w:t>附件2</w:t>
      </w:r>
    </w:p>
    <w:p w14:paraId="52DC7537">
      <w:pPr>
        <w:keepNext w:val="0"/>
        <w:keepLines w:val="0"/>
        <w:pageBreakBefore w:val="0"/>
        <w:widowControl/>
        <w:kinsoku/>
        <w:wordWrap/>
        <w:overflowPunct/>
        <w:topLinePunct w:val="0"/>
        <w:autoSpaceDE/>
        <w:autoSpaceDN/>
        <w:bidi w:val="0"/>
        <w:adjustRightInd/>
        <w:snapToGrid/>
        <w:spacing w:line="570" w:lineRule="exact"/>
        <w:jc w:val="left"/>
        <w:textAlignment w:val="auto"/>
        <w:outlineLvl w:val="0"/>
        <w:rPr>
          <w:rFonts w:hint="eastAsia" w:ascii="黑体" w:hAnsi="黑体" w:eastAsia="黑体"/>
          <w:color w:val="auto"/>
          <w:sz w:val="32"/>
          <w:szCs w:val="32"/>
        </w:rPr>
      </w:pPr>
    </w:p>
    <w:p w14:paraId="386A4EA7">
      <w:pPr>
        <w:spacing w:line="520" w:lineRule="exact"/>
        <w:jc w:val="center"/>
        <w:outlineLvl w:val="0"/>
        <w:rPr>
          <w:rFonts w:hint="eastAsia" w:ascii="方正小标宋简体" w:hAnsi="方正小标宋简体" w:eastAsia="方正小标宋简体" w:cs="方正小标宋简体"/>
          <w:b w:val="0"/>
          <w:bCs w:val="0"/>
          <w:color w:val="auto"/>
          <w:sz w:val="36"/>
          <w:szCs w:val="36"/>
          <w:lang w:eastAsia="zh-CN"/>
        </w:rPr>
      </w:pPr>
      <w:r>
        <w:rPr>
          <w:rFonts w:hint="eastAsia" w:ascii="方正小标宋简体" w:hAnsi="方正小标宋简体" w:eastAsia="方正小标宋简体" w:cs="方正小标宋简体"/>
          <w:b w:val="0"/>
          <w:bCs w:val="0"/>
          <w:color w:val="auto"/>
          <w:sz w:val="36"/>
          <w:szCs w:val="36"/>
          <w:lang w:eastAsia="zh-CN"/>
        </w:rPr>
        <w:t>铜川市物业管理区域内机动车室内停放场所类别标准</w:t>
      </w:r>
    </w:p>
    <w:p w14:paraId="4522AC9C">
      <w:pPr>
        <w:keepNext w:val="0"/>
        <w:keepLines w:val="0"/>
        <w:pageBreakBefore w:val="0"/>
        <w:widowControl/>
        <w:kinsoku/>
        <w:wordWrap/>
        <w:overflowPunct/>
        <w:topLinePunct w:val="0"/>
        <w:autoSpaceDE/>
        <w:autoSpaceDN/>
        <w:bidi w:val="0"/>
        <w:adjustRightInd/>
        <w:snapToGrid/>
        <w:spacing w:line="570" w:lineRule="exact"/>
        <w:jc w:val="left"/>
        <w:textAlignment w:val="auto"/>
        <w:outlineLvl w:val="0"/>
        <w:rPr>
          <w:rFonts w:hint="eastAsia" w:ascii="方正公文小标宋" w:hAnsi="方正公文小标宋" w:eastAsia="方正公文小标宋" w:cs="方正小标宋简体"/>
          <w:color w:val="auto"/>
          <w:sz w:val="36"/>
          <w:szCs w:val="36"/>
        </w:rPr>
      </w:pPr>
      <w:r>
        <w:rPr>
          <w:rFonts w:hint="eastAsia" w:ascii="方正公文小标宋" w:hAnsi="方正公文小标宋" w:eastAsia="方正公文小标宋" w:cs="方正小标宋简体"/>
          <w:color w:val="auto"/>
          <w:sz w:val="36"/>
          <w:szCs w:val="36"/>
        </w:rPr>
        <w:t xml:space="preserve">    </w:t>
      </w:r>
    </w:p>
    <w:p w14:paraId="391CBD75">
      <w:pPr>
        <w:keepNext w:val="0"/>
        <w:keepLines w:val="0"/>
        <w:pageBreakBefore w:val="0"/>
        <w:widowControl/>
        <w:kinsoku/>
        <w:wordWrap/>
        <w:overflowPunct/>
        <w:topLinePunct w:val="0"/>
        <w:autoSpaceDE/>
        <w:autoSpaceDN/>
        <w:bidi w:val="0"/>
        <w:adjustRightInd/>
        <w:snapToGrid/>
        <w:spacing w:line="570" w:lineRule="exact"/>
        <w:jc w:val="left"/>
        <w:textAlignment w:val="auto"/>
        <w:outlineLvl w:val="0"/>
        <w:rPr>
          <w:rFonts w:ascii="方正公文小标宋" w:hAnsi="方正公文小标宋" w:eastAsia="方正公文小标宋" w:cs="方正小标宋简体"/>
          <w:color w:val="auto"/>
          <w:sz w:val="36"/>
          <w:szCs w:val="36"/>
        </w:rPr>
      </w:pPr>
      <w:r>
        <w:rPr>
          <w:rFonts w:hint="eastAsia" w:ascii="方正公文小标宋" w:hAnsi="方正公文小标宋" w:eastAsia="方正公文小标宋" w:cs="方正小标宋简体"/>
          <w:color w:val="auto"/>
          <w:sz w:val="36"/>
          <w:szCs w:val="36"/>
        </w:rPr>
        <w:t xml:space="preserve">    </w:t>
      </w:r>
      <w:r>
        <w:rPr>
          <w:rFonts w:hint="eastAsia" w:ascii="黑体" w:hAnsi="黑体" w:eastAsia="黑体"/>
          <w:bCs/>
          <w:color w:val="auto"/>
          <w:sz w:val="32"/>
          <w:szCs w:val="32"/>
        </w:rPr>
        <w:t>一类停车场</w:t>
      </w:r>
    </w:p>
    <w:p w14:paraId="712F8D96">
      <w:pPr>
        <w:keepNext w:val="0"/>
        <w:keepLines w:val="0"/>
        <w:pageBreakBefore w:val="0"/>
        <w:widowControl/>
        <w:kinsoku/>
        <w:wordWrap/>
        <w:overflowPunct/>
        <w:topLinePunct w:val="0"/>
        <w:autoSpaceDE/>
        <w:autoSpaceDN/>
        <w:bidi w:val="0"/>
        <w:adjustRightInd/>
        <w:snapToGrid/>
        <w:spacing w:line="570" w:lineRule="exact"/>
        <w:jc w:val="left"/>
        <w:textAlignment w:val="auto"/>
        <w:rPr>
          <w:rFonts w:ascii="仿宋_GB2312" w:eastAsia="仿宋_GB2312"/>
          <w:color w:val="auto"/>
          <w:sz w:val="32"/>
          <w:szCs w:val="32"/>
        </w:rPr>
      </w:pPr>
      <w:r>
        <w:rPr>
          <w:rFonts w:hint="eastAsia" w:ascii="仿宋_GB2312" w:eastAsia="仿宋_GB2312"/>
          <w:color w:val="auto"/>
          <w:sz w:val="32"/>
          <w:szCs w:val="32"/>
        </w:rPr>
        <w:t xml:space="preserve">    具有独立的出入口或符合国家标准的双车道供车辆安全出入,配备自动升降栏杆，</w:t>
      </w:r>
      <w:r>
        <w:rPr>
          <w:rFonts w:hint="eastAsia" w:ascii="仿宋_GB2312" w:eastAsia="仿宋_GB2312"/>
          <w:color w:val="auto"/>
          <w:sz w:val="32"/>
          <w:szCs w:val="32"/>
          <w:lang w:eastAsia="zh-CN"/>
        </w:rPr>
        <w:t>进出口主干道配备</w:t>
      </w:r>
      <w:r>
        <w:rPr>
          <w:rFonts w:hint="eastAsia" w:ascii="仿宋_GB2312" w:eastAsia="仿宋_GB2312"/>
          <w:color w:val="auto"/>
          <w:sz w:val="32"/>
          <w:szCs w:val="32"/>
          <w:lang w:val="en-US" w:eastAsia="zh-CN"/>
        </w:rPr>
        <w:t>24小时</w:t>
      </w:r>
      <w:r>
        <w:rPr>
          <w:rFonts w:hint="eastAsia" w:ascii="仿宋_GB2312" w:eastAsia="仿宋_GB2312"/>
          <w:color w:val="auto"/>
          <w:sz w:val="32"/>
          <w:szCs w:val="32"/>
        </w:rPr>
        <w:t>摄像监控系统，</w:t>
      </w:r>
      <w:r>
        <w:rPr>
          <w:rFonts w:hint="eastAsia" w:ascii="仿宋_GB2312" w:eastAsia="仿宋_GB2312"/>
          <w:color w:val="auto"/>
          <w:sz w:val="32"/>
          <w:szCs w:val="32"/>
          <w:lang w:val="en-US" w:eastAsia="zh-CN"/>
        </w:rPr>
        <w:t>有照明设施及应急照明系统、</w:t>
      </w:r>
      <w:r>
        <w:rPr>
          <w:rFonts w:hint="eastAsia" w:ascii="仿宋_GB2312" w:eastAsia="仿宋_GB2312"/>
          <w:color w:val="auto"/>
          <w:sz w:val="32"/>
          <w:szCs w:val="32"/>
        </w:rPr>
        <w:t>电脑计费</w:t>
      </w:r>
      <w:r>
        <w:rPr>
          <w:rFonts w:hint="eastAsia" w:ascii="仿宋_GB2312" w:eastAsia="仿宋_GB2312"/>
          <w:color w:val="auto"/>
          <w:sz w:val="32"/>
          <w:szCs w:val="32"/>
          <w:lang w:eastAsia="zh-CN"/>
        </w:rPr>
        <w:t>系</w:t>
      </w:r>
      <w:r>
        <w:rPr>
          <w:rFonts w:hint="eastAsia" w:ascii="仿宋_GB2312" w:eastAsia="仿宋_GB2312"/>
          <w:color w:val="auto"/>
          <w:sz w:val="32"/>
          <w:szCs w:val="32"/>
        </w:rPr>
        <w:t>统或网络计费支付系统，</w:t>
      </w:r>
      <w:r>
        <w:rPr>
          <w:rFonts w:hint="eastAsia" w:ascii="仿宋_GB2312" w:eastAsia="仿宋_GB2312"/>
          <w:color w:val="auto"/>
          <w:sz w:val="32"/>
          <w:szCs w:val="32"/>
          <w:lang w:eastAsia="zh-CN"/>
        </w:rPr>
        <w:t>安装</w:t>
      </w:r>
      <w:r>
        <w:rPr>
          <w:rFonts w:hint="eastAsia" w:ascii="仿宋_GB2312" w:eastAsia="仿宋_GB2312"/>
          <w:color w:val="auto"/>
          <w:sz w:val="32"/>
          <w:szCs w:val="32"/>
        </w:rPr>
        <w:t>消防喷淋设施及通风设备；地面硬化干净整洁；行车有标准的导向系统，停车位有专业标</w:t>
      </w:r>
      <w:r>
        <w:rPr>
          <w:rFonts w:hint="eastAsia" w:ascii="仿宋_GB2312" w:eastAsia="仿宋_GB2312"/>
          <w:color w:val="auto"/>
          <w:sz w:val="32"/>
          <w:szCs w:val="32"/>
          <w:lang w:eastAsia="zh-CN"/>
        </w:rPr>
        <w:t>识</w:t>
      </w:r>
      <w:r>
        <w:rPr>
          <w:rFonts w:hint="eastAsia" w:ascii="仿宋_GB2312" w:eastAsia="仿宋_GB2312"/>
          <w:color w:val="auto"/>
          <w:sz w:val="32"/>
          <w:szCs w:val="32"/>
        </w:rPr>
        <w:t>；监控室24小时有专人值班，配备专业管理、保安、保洁人员。</w:t>
      </w:r>
    </w:p>
    <w:p w14:paraId="611A3E65">
      <w:pPr>
        <w:keepNext w:val="0"/>
        <w:keepLines w:val="0"/>
        <w:pageBreakBefore w:val="0"/>
        <w:widowControl/>
        <w:kinsoku/>
        <w:wordWrap/>
        <w:overflowPunct/>
        <w:topLinePunct w:val="0"/>
        <w:autoSpaceDE/>
        <w:autoSpaceDN/>
        <w:bidi w:val="0"/>
        <w:adjustRightInd/>
        <w:snapToGrid/>
        <w:spacing w:line="570" w:lineRule="exact"/>
        <w:jc w:val="left"/>
        <w:textAlignment w:val="auto"/>
        <w:outlineLvl w:val="0"/>
        <w:rPr>
          <w:rFonts w:ascii="仿宋_GB2312" w:eastAsia="仿宋_GB2312"/>
          <w:b/>
          <w:bCs/>
          <w:color w:val="auto"/>
          <w:sz w:val="32"/>
          <w:szCs w:val="32"/>
        </w:rPr>
      </w:pPr>
      <w:r>
        <w:rPr>
          <w:rFonts w:hint="eastAsia" w:ascii="黑体" w:hAnsi="黑体" w:eastAsia="黑体"/>
          <w:bCs/>
          <w:color w:val="auto"/>
          <w:sz w:val="32"/>
          <w:szCs w:val="32"/>
        </w:rPr>
        <w:t xml:space="preserve">    二类停车场</w:t>
      </w:r>
    </w:p>
    <w:p w14:paraId="03A365E0">
      <w:pPr>
        <w:keepNext w:val="0"/>
        <w:keepLines w:val="0"/>
        <w:pageBreakBefore w:val="0"/>
        <w:widowControl/>
        <w:kinsoku/>
        <w:wordWrap/>
        <w:overflowPunct/>
        <w:topLinePunct w:val="0"/>
        <w:autoSpaceDE/>
        <w:autoSpaceDN/>
        <w:bidi w:val="0"/>
        <w:adjustRightInd/>
        <w:snapToGrid/>
        <w:spacing w:line="570" w:lineRule="exact"/>
        <w:jc w:val="both"/>
        <w:textAlignment w:val="auto"/>
        <w:rPr>
          <w:rFonts w:ascii="仿宋_GB2312" w:hAnsi="仿宋_GB2312" w:eastAsia="仿宋_GB2312" w:cs="仿宋_GB2312"/>
          <w:color w:val="auto"/>
          <w:sz w:val="32"/>
          <w:szCs w:val="32"/>
        </w:rPr>
      </w:pPr>
      <w:r>
        <w:rPr>
          <w:rFonts w:hint="eastAsia" w:ascii="仿宋_GB2312" w:eastAsia="仿宋_GB2312"/>
          <w:color w:val="auto"/>
          <w:sz w:val="32"/>
          <w:szCs w:val="32"/>
        </w:rPr>
        <w:t xml:space="preserve">   </w:t>
      </w:r>
      <w:r>
        <w:rPr>
          <w:rFonts w:hint="eastAsia" w:ascii="仿宋_GB2312" w:eastAsia="仿宋_GB2312"/>
          <w:color w:val="auto"/>
          <w:sz w:val="32"/>
          <w:szCs w:val="32"/>
          <w:lang w:val="en-US" w:eastAsia="zh-CN"/>
        </w:rPr>
        <w:t xml:space="preserve"> </w:t>
      </w:r>
      <w:r>
        <w:rPr>
          <w:rFonts w:hint="eastAsia" w:ascii="仿宋_GB2312" w:eastAsia="仿宋_GB2312"/>
          <w:color w:val="auto"/>
          <w:sz w:val="32"/>
          <w:szCs w:val="32"/>
        </w:rPr>
        <w:t>配备监控、消防</w:t>
      </w:r>
      <w:r>
        <w:rPr>
          <w:rFonts w:hint="eastAsia" w:ascii="仿宋_GB2312" w:eastAsia="仿宋_GB2312"/>
          <w:color w:val="auto"/>
          <w:sz w:val="32"/>
          <w:szCs w:val="32"/>
          <w:lang w:eastAsia="zh-CN"/>
        </w:rPr>
        <w:t>、</w:t>
      </w:r>
      <w:r>
        <w:rPr>
          <w:rFonts w:hint="eastAsia" w:ascii="仿宋_GB2312" w:eastAsia="仿宋_GB2312"/>
          <w:color w:val="auto"/>
          <w:sz w:val="32"/>
          <w:szCs w:val="32"/>
        </w:rPr>
        <w:t>通风设备</w:t>
      </w:r>
      <w:r>
        <w:rPr>
          <w:rFonts w:hint="eastAsia" w:ascii="仿宋_GB2312" w:eastAsia="仿宋_GB2312"/>
          <w:color w:val="auto"/>
          <w:sz w:val="32"/>
          <w:szCs w:val="32"/>
          <w:lang w:eastAsia="zh-CN"/>
        </w:rPr>
        <w:t>；</w:t>
      </w:r>
      <w:r>
        <w:rPr>
          <w:rFonts w:hint="eastAsia" w:ascii="仿宋_GB2312" w:eastAsia="仿宋_GB2312"/>
          <w:color w:val="auto"/>
          <w:sz w:val="32"/>
          <w:szCs w:val="32"/>
        </w:rPr>
        <w:t>有明显的导向和停车标识</w:t>
      </w:r>
      <w:r>
        <w:rPr>
          <w:rFonts w:hint="eastAsia" w:ascii="仿宋_GB2312" w:eastAsia="仿宋_GB2312"/>
          <w:color w:val="auto"/>
          <w:sz w:val="32"/>
          <w:szCs w:val="32"/>
          <w:lang w:eastAsia="zh-CN"/>
        </w:rPr>
        <w:t>；</w:t>
      </w:r>
      <w:r>
        <w:rPr>
          <w:rFonts w:hint="eastAsia" w:ascii="仿宋_GB2312" w:eastAsia="仿宋_GB2312"/>
          <w:color w:val="auto"/>
          <w:sz w:val="32"/>
          <w:szCs w:val="32"/>
        </w:rPr>
        <w:t>24小时有人值班，配备保安、保洁人员。</w:t>
      </w:r>
    </w:p>
    <w:p w14:paraId="3A8EB535">
      <w:pPr>
        <w:widowControl/>
        <w:jc w:val="left"/>
        <w:rPr>
          <w:color w:val="auto"/>
          <w:sz w:val="32"/>
          <w:szCs w:val="32"/>
        </w:rPr>
      </w:pPr>
    </w:p>
    <w:sectPr>
      <w:footerReference r:id="rId3" w:type="default"/>
      <w:pgSz w:w="11906" w:h="16838"/>
      <w:pgMar w:top="2098" w:right="1474" w:bottom="1985" w:left="1588" w:header="567" w:footer="1644"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altName w:val="noto sans thai"/>
    <w:panose1 w:val="020B0604030504040204"/>
    <w:charset w:val="00"/>
    <w:family w:val="swiss"/>
    <w:pitch w:val="default"/>
    <w:sig w:usb0="00000000" w:usb1="00000000" w:usb2="00000029" w:usb3="00000000" w:csb0="200101FF" w:csb1="20280000"/>
  </w:font>
  <w:font w:name="noto sans thai">
    <w:panose1 w:val="020B0502040504020204"/>
    <w:charset w:val="00"/>
    <w:family w:val="auto"/>
    <w:pitch w:val="default"/>
    <w:sig w:usb0="81000063" w:usb1="00002000" w:usb2="00000000" w:usb3="00000000" w:csb0="00010000" w:csb1="00000000"/>
  </w:font>
  <w:font w:name="方正公文小标宋">
    <w:altName w:val="方正小标宋简体"/>
    <w:panose1 w:val="02000500000000000000"/>
    <w:charset w:val="86"/>
    <w:family w:val="auto"/>
    <w:pitch w:val="default"/>
    <w:sig w:usb0="00000000" w:usb1="00000000"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9CC87">
    <w:pPr>
      <w:pStyle w:val="2"/>
      <w:jc w:val="center"/>
    </w:pPr>
    <w:r>
      <w:rPr>
        <w:sz w:val="18"/>
      </w:rPr>
      <w:pict>
        <v:shape id="_x0000_s1027" o:spid="_x0000_s1027" o:spt="202" type="#_x0000_t202" style="position:absolute;left:0pt;margin-top:0pt;height:144pt;width:144pt;mso-position-horizontal:outside;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6C154D47">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- 1 -</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w:r>
  </w:p>
  <w:p w14:paraId="1ED47E8D">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39B894"/>
    <w:multiLevelType w:val="singleLevel"/>
    <w:tmpl w:val="9439B894"/>
    <w:lvl w:ilvl="0" w:tentative="0">
      <w:start w:val="1"/>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docVars>
    <w:docVar w:name="commondata" w:val="eyJoZGlkIjoiMjc4MWFhYjAwYjA5ZjY5NDc5OGM2OGJiM2IxMjYzYjUifQ=="/>
    <w:docVar w:name="KSO_WPS_MARK_KEY" w:val="258812b1-3f4c-46a8-ba73-51734e73a9e6"/>
  </w:docVars>
  <w:rsids>
    <w:rsidRoot w:val="00B47E1B"/>
    <w:rsid w:val="00001CC3"/>
    <w:rsid w:val="000204C9"/>
    <w:rsid w:val="00046E17"/>
    <w:rsid w:val="000932EB"/>
    <w:rsid w:val="000C30DC"/>
    <w:rsid w:val="000C69DD"/>
    <w:rsid w:val="000F0FE8"/>
    <w:rsid w:val="0010378E"/>
    <w:rsid w:val="00103916"/>
    <w:rsid w:val="00111EDD"/>
    <w:rsid w:val="0011292E"/>
    <w:rsid w:val="00115D42"/>
    <w:rsid w:val="00150E1B"/>
    <w:rsid w:val="00151A49"/>
    <w:rsid w:val="001735D5"/>
    <w:rsid w:val="0018676D"/>
    <w:rsid w:val="001A176B"/>
    <w:rsid w:val="001B2127"/>
    <w:rsid w:val="001C2FA5"/>
    <w:rsid w:val="001D1A80"/>
    <w:rsid w:val="001F7DF8"/>
    <w:rsid w:val="00232587"/>
    <w:rsid w:val="00235890"/>
    <w:rsid w:val="00241789"/>
    <w:rsid w:val="002422AF"/>
    <w:rsid w:val="00256953"/>
    <w:rsid w:val="00267060"/>
    <w:rsid w:val="002727CC"/>
    <w:rsid w:val="00273EEA"/>
    <w:rsid w:val="002A01BD"/>
    <w:rsid w:val="002B2202"/>
    <w:rsid w:val="002D3861"/>
    <w:rsid w:val="002D3936"/>
    <w:rsid w:val="002E7FE7"/>
    <w:rsid w:val="00300848"/>
    <w:rsid w:val="00302D85"/>
    <w:rsid w:val="00320DD6"/>
    <w:rsid w:val="00324085"/>
    <w:rsid w:val="00346D0F"/>
    <w:rsid w:val="003632FC"/>
    <w:rsid w:val="00390BAF"/>
    <w:rsid w:val="003D56F8"/>
    <w:rsid w:val="004021E8"/>
    <w:rsid w:val="00425256"/>
    <w:rsid w:val="00430F1F"/>
    <w:rsid w:val="00432197"/>
    <w:rsid w:val="004677B2"/>
    <w:rsid w:val="0047405A"/>
    <w:rsid w:val="00475A17"/>
    <w:rsid w:val="00493CCE"/>
    <w:rsid w:val="004B24DF"/>
    <w:rsid w:val="004B5755"/>
    <w:rsid w:val="004B6C8A"/>
    <w:rsid w:val="004D0853"/>
    <w:rsid w:val="004F3601"/>
    <w:rsid w:val="00502759"/>
    <w:rsid w:val="005335A9"/>
    <w:rsid w:val="00563084"/>
    <w:rsid w:val="005802A8"/>
    <w:rsid w:val="005A5352"/>
    <w:rsid w:val="005D23A2"/>
    <w:rsid w:val="005E365F"/>
    <w:rsid w:val="005E4112"/>
    <w:rsid w:val="005F52B9"/>
    <w:rsid w:val="005F6C90"/>
    <w:rsid w:val="006001FF"/>
    <w:rsid w:val="0061287F"/>
    <w:rsid w:val="0065433C"/>
    <w:rsid w:val="0066199A"/>
    <w:rsid w:val="006629D0"/>
    <w:rsid w:val="00674D35"/>
    <w:rsid w:val="00676DDE"/>
    <w:rsid w:val="00690F24"/>
    <w:rsid w:val="00693BB2"/>
    <w:rsid w:val="0069629B"/>
    <w:rsid w:val="006B3EC2"/>
    <w:rsid w:val="00706321"/>
    <w:rsid w:val="00722918"/>
    <w:rsid w:val="00726C7D"/>
    <w:rsid w:val="00730838"/>
    <w:rsid w:val="007310C0"/>
    <w:rsid w:val="0073549A"/>
    <w:rsid w:val="00751ABB"/>
    <w:rsid w:val="00754542"/>
    <w:rsid w:val="00756243"/>
    <w:rsid w:val="00796CEC"/>
    <w:rsid w:val="007A1806"/>
    <w:rsid w:val="007B70F9"/>
    <w:rsid w:val="007C17D4"/>
    <w:rsid w:val="007D2B41"/>
    <w:rsid w:val="007E22F4"/>
    <w:rsid w:val="007F31E8"/>
    <w:rsid w:val="007F6E43"/>
    <w:rsid w:val="00815BED"/>
    <w:rsid w:val="008413BC"/>
    <w:rsid w:val="00863266"/>
    <w:rsid w:val="0086474D"/>
    <w:rsid w:val="008E6C6F"/>
    <w:rsid w:val="008F7EAB"/>
    <w:rsid w:val="009243B8"/>
    <w:rsid w:val="00951B96"/>
    <w:rsid w:val="00960447"/>
    <w:rsid w:val="0098188A"/>
    <w:rsid w:val="00991AE9"/>
    <w:rsid w:val="009A6394"/>
    <w:rsid w:val="009C0B79"/>
    <w:rsid w:val="009F2082"/>
    <w:rsid w:val="00A025FA"/>
    <w:rsid w:val="00A47969"/>
    <w:rsid w:val="00A551AD"/>
    <w:rsid w:val="00A67635"/>
    <w:rsid w:val="00A81B8C"/>
    <w:rsid w:val="00AA56B0"/>
    <w:rsid w:val="00AA6709"/>
    <w:rsid w:val="00AE374F"/>
    <w:rsid w:val="00B20B3A"/>
    <w:rsid w:val="00B4413A"/>
    <w:rsid w:val="00B44F11"/>
    <w:rsid w:val="00B47E1B"/>
    <w:rsid w:val="00B626FD"/>
    <w:rsid w:val="00B97452"/>
    <w:rsid w:val="00BA5572"/>
    <w:rsid w:val="00BB50F0"/>
    <w:rsid w:val="00BC3914"/>
    <w:rsid w:val="00BD5800"/>
    <w:rsid w:val="00BD61BB"/>
    <w:rsid w:val="00BE354E"/>
    <w:rsid w:val="00C1153A"/>
    <w:rsid w:val="00C2585E"/>
    <w:rsid w:val="00C506DD"/>
    <w:rsid w:val="00C71760"/>
    <w:rsid w:val="00C71FE3"/>
    <w:rsid w:val="00C9740E"/>
    <w:rsid w:val="00CA6EFD"/>
    <w:rsid w:val="00CB5EE9"/>
    <w:rsid w:val="00CD25E5"/>
    <w:rsid w:val="00CD7D1D"/>
    <w:rsid w:val="00CF78BB"/>
    <w:rsid w:val="00D122F2"/>
    <w:rsid w:val="00D16C77"/>
    <w:rsid w:val="00D20163"/>
    <w:rsid w:val="00D2308E"/>
    <w:rsid w:val="00D42448"/>
    <w:rsid w:val="00D45AB5"/>
    <w:rsid w:val="00D511AA"/>
    <w:rsid w:val="00D700A0"/>
    <w:rsid w:val="00D84607"/>
    <w:rsid w:val="00DB7884"/>
    <w:rsid w:val="00DC500D"/>
    <w:rsid w:val="00DC53C5"/>
    <w:rsid w:val="00DE7A12"/>
    <w:rsid w:val="00E27AE3"/>
    <w:rsid w:val="00E42BAB"/>
    <w:rsid w:val="00E4577E"/>
    <w:rsid w:val="00E75649"/>
    <w:rsid w:val="00E77376"/>
    <w:rsid w:val="00E91716"/>
    <w:rsid w:val="00E976B3"/>
    <w:rsid w:val="00ED24EB"/>
    <w:rsid w:val="00F26F9A"/>
    <w:rsid w:val="00F5521E"/>
    <w:rsid w:val="00F575CB"/>
    <w:rsid w:val="00F6771F"/>
    <w:rsid w:val="00F9431D"/>
    <w:rsid w:val="00FA6AA0"/>
    <w:rsid w:val="00FE3901"/>
    <w:rsid w:val="013D64AB"/>
    <w:rsid w:val="01521C8D"/>
    <w:rsid w:val="0160444F"/>
    <w:rsid w:val="018D3F2E"/>
    <w:rsid w:val="01C14BB4"/>
    <w:rsid w:val="026749FE"/>
    <w:rsid w:val="027B63E2"/>
    <w:rsid w:val="02BB31D3"/>
    <w:rsid w:val="02BB35B7"/>
    <w:rsid w:val="02C94F6A"/>
    <w:rsid w:val="0321587C"/>
    <w:rsid w:val="035142FC"/>
    <w:rsid w:val="037A6155"/>
    <w:rsid w:val="03D25B79"/>
    <w:rsid w:val="03E05B14"/>
    <w:rsid w:val="04015A09"/>
    <w:rsid w:val="04161A44"/>
    <w:rsid w:val="0452341B"/>
    <w:rsid w:val="047F3F57"/>
    <w:rsid w:val="04AA41CD"/>
    <w:rsid w:val="04BB590A"/>
    <w:rsid w:val="04C87B03"/>
    <w:rsid w:val="05090764"/>
    <w:rsid w:val="052B49E5"/>
    <w:rsid w:val="052D5C52"/>
    <w:rsid w:val="053A4F12"/>
    <w:rsid w:val="054834A6"/>
    <w:rsid w:val="058525A8"/>
    <w:rsid w:val="058F249E"/>
    <w:rsid w:val="0594761D"/>
    <w:rsid w:val="05AD53C8"/>
    <w:rsid w:val="05DF009E"/>
    <w:rsid w:val="05ED2CD9"/>
    <w:rsid w:val="060811EF"/>
    <w:rsid w:val="06770C96"/>
    <w:rsid w:val="067A3049"/>
    <w:rsid w:val="070D01D4"/>
    <w:rsid w:val="071015E4"/>
    <w:rsid w:val="074C3905"/>
    <w:rsid w:val="074F6514"/>
    <w:rsid w:val="086C4E69"/>
    <w:rsid w:val="08A202BD"/>
    <w:rsid w:val="08E30C68"/>
    <w:rsid w:val="09003601"/>
    <w:rsid w:val="090D2828"/>
    <w:rsid w:val="0928608E"/>
    <w:rsid w:val="09394FEE"/>
    <w:rsid w:val="094B011B"/>
    <w:rsid w:val="09F7306D"/>
    <w:rsid w:val="0A0A3789"/>
    <w:rsid w:val="0A0B0EE7"/>
    <w:rsid w:val="0A1826DC"/>
    <w:rsid w:val="0A247D6B"/>
    <w:rsid w:val="0A3B1BD7"/>
    <w:rsid w:val="0A4B7CD7"/>
    <w:rsid w:val="0A7436A0"/>
    <w:rsid w:val="0AD27A3F"/>
    <w:rsid w:val="0B555838"/>
    <w:rsid w:val="0B615AF8"/>
    <w:rsid w:val="0C056783"/>
    <w:rsid w:val="0C157A8B"/>
    <w:rsid w:val="0C7E7EC7"/>
    <w:rsid w:val="0C806993"/>
    <w:rsid w:val="0CA37841"/>
    <w:rsid w:val="0CE4734A"/>
    <w:rsid w:val="0CFD5F71"/>
    <w:rsid w:val="0DA038F1"/>
    <w:rsid w:val="0DB03F03"/>
    <w:rsid w:val="0E4B5EB5"/>
    <w:rsid w:val="0E697416"/>
    <w:rsid w:val="0E7A7053"/>
    <w:rsid w:val="0E9418A5"/>
    <w:rsid w:val="0ED2449B"/>
    <w:rsid w:val="0F0F5375"/>
    <w:rsid w:val="0F4B640D"/>
    <w:rsid w:val="0F8543FD"/>
    <w:rsid w:val="0F8B2F3A"/>
    <w:rsid w:val="0FBC1935"/>
    <w:rsid w:val="0FBF6D8B"/>
    <w:rsid w:val="0FE61918"/>
    <w:rsid w:val="0FEB5787"/>
    <w:rsid w:val="102B5D0A"/>
    <w:rsid w:val="102D51F6"/>
    <w:rsid w:val="108D4ADC"/>
    <w:rsid w:val="10DE4071"/>
    <w:rsid w:val="10E3074A"/>
    <w:rsid w:val="111B7C44"/>
    <w:rsid w:val="11484390"/>
    <w:rsid w:val="115F3764"/>
    <w:rsid w:val="117B3B84"/>
    <w:rsid w:val="117E4467"/>
    <w:rsid w:val="11A508C8"/>
    <w:rsid w:val="11C25221"/>
    <w:rsid w:val="11CB257E"/>
    <w:rsid w:val="1251584A"/>
    <w:rsid w:val="12623EB3"/>
    <w:rsid w:val="127A58FC"/>
    <w:rsid w:val="12805005"/>
    <w:rsid w:val="12EA2943"/>
    <w:rsid w:val="13094E01"/>
    <w:rsid w:val="13146152"/>
    <w:rsid w:val="13201899"/>
    <w:rsid w:val="1347456D"/>
    <w:rsid w:val="13F67B98"/>
    <w:rsid w:val="1405277F"/>
    <w:rsid w:val="14081FA2"/>
    <w:rsid w:val="141D107F"/>
    <w:rsid w:val="1431257D"/>
    <w:rsid w:val="14542881"/>
    <w:rsid w:val="14AB0696"/>
    <w:rsid w:val="14F70F8F"/>
    <w:rsid w:val="15492BCE"/>
    <w:rsid w:val="15754684"/>
    <w:rsid w:val="159376E0"/>
    <w:rsid w:val="15937C1A"/>
    <w:rsid w:val="15C30FF0"/>
    <w:rsid w:val="15DE343D"/>
    <w:rsid w:val="16390082"/>
    <w:rsid w:val="16537B87"/>
    <w:rsid w:val="165B2217"/>
    <w:rsid w:val="165E0963"/>
    <w:rsid w:val="166347FD"/>
    <w:rsid w:val="166950BF"/>
    <w:rsid w:val="166F219E"/>
    <w:rsid w:val="168B0392"/>
    <w:rsid w:val="16986690"/>
    <w:rsid w:val="16DA319A"/>
    <w:rsid w:val="172A2E46"/>
    <w:rsid w:val="175A77B8"/>
    <w:rsid w:val="175B5F2D"/>
    <w:rsid w:val="176C23E3"/>
    <w:rsid w:val="17855634"/>
    <w:rsid w:val="17A671B8"/>
    <w:rsid w:val="17C839E7"/>
    <w:rsid w:val="17F56D3A"/>
    <w:rsid w:val="17FA3D3D"/>
    <w:rsid w:val="188B5D59"/>
    <w:rsid w:val="18A136B7"/>
    <w:rsid w:val="18C63B73"/>
    <w:rsid w:val="18CE1040"/>
    <w:rsid w:val="194A31BA"/>
    <w:rsid w:val="19572551"/>
    <w:rsid w:val="19927D75"/>
    <w:rsid w:val="19B20E86"/>
    <w:rsid w:val="19C479C5"/>
    <w:rsid w:val="19C70974"/>
    <w:rsid w:val="19D551BC"/>
    <w:rsid w:val="1A016F56"/>
    <w:rsid w:val="1A12772F"/>
    <w:rsid w:val="1A9A64E9"/>
    <w:rsid w:val="1AA4108B"/>
    <w:rsid w:val="1ABA1D9F"/>
    <w:rsid w:val="1ADC7398"/>
    <w:rsid w:val="1B213612"/>
    <w:rsid w:val="1B5837C2"/>
    <w:rsid w:val="1B6C6A37"/>
    <w:rsid w:val="1B736B16"/>
    <w:rsid w:val="1B876601"/>
    <w:rsid w:val="1BF65D75"/>
    <w:rsid w:val="1C182115"/>
    <w:rsid w:val="1C1918CE"/>
    <w:rsid w:val="1C707260"/>
    <w:rsid w:val="1C70760E"/>
    <w:rsid w:val="1CCF401D"/>
    <w:rsid w:val="1CD95BE5"/>
    <w:rsid w:val="1CEE5B24"/>
    <w:rsid w:val="1D230F51"/>
    <w:rsid w:val="1D2A5630"/>
    <w:rsid w:val="1D2D6998"/>
    <w:rsid w:val="1DB227A0"/>
    <w:rsid w:val="1DB27475"/>
    <w:rsid w:val="1DD928A8"/>
    <w:rsid w:val="1E551B61"/>
    <w:rsid w:val="1E761186"/>
    <w:rsid w:val="1EB47989"/>
    <w:rsid w:val="1ED25EBC"/>
    <w:rsid w:val="1F3A0D7E"/>
    <w:rsid w:val="1F492276"/>
    <w:rsid w:val="1F6E6165"/>
    <w:rsid w:val="1F721AB1"/>
    <w:rsid w:val="1FB33769"/>
    <w:rsid w:val="1FB81613"/>
    <w:rsid w:val="20192FB4"/>
    <w:rsid w:val="202C5BA9"/>
    <w:rsid w:val="205C2D47"/>
    <w:rsid w:val="206D3B20"/>
    <w:rsid w:val="20CC1FBA"/>
    <w:rsid w:val="21074673"/>
    <w:rsid w:val="21544C7E"/>
    <w:rsid w:val="21850BE6"/>
    <w:rsid w:val="21A45FA8"/>
    <w:rsid w:val="21BF7665"/>
    <w:rsid w:val="221723B4"/>
    <w:rsid w:val="222861A6"/>
    <w:rsid w:val="222F1E4B"/>
    <w:rsid w:val="22417983"/>
    <w:rsid w:val="227346A7"/>
    <w:rsid w:val="227A363C"/>
    <w:rsid w:val="22DF4A62"/>
    <w:rsid w:val="231D46B0"/>
    <w:rsid w:val="233B0312"/>
    <w:rsid w:val="23456AE7"/>
    <w:rsid w:val="234715F0"/>
    <w:rsid w:val="23626388"/>
    <w:rsid w:val="237072A3"/>
    <w:rsid w:val="23830E3A"/>
    <w:rsid w:val="23902171"/>
    <w:rsid w:val="23B06265"/>
    <w:rsid w:val="23D577C6"/>
    <w:rsid w:val="23FF09DE"/>
    <w:rsid w:val="241E6913"/>
    <w:rsid w:val="242D79BF"/>
    <w:rsid w:val="25375B0C"/>
    <w:rsid w:val="254A42A8"/>
    <w:rsid w:val="25512CB4"/>
    <w:rsid w:val="25920B91"/>
    <w:rsid w:val="26303C7B"/>
    <w:rsid w:val="26323CB8"/>
    <w:rsid w:val="266523C5"/>
    <w:rsid w:val="26831BBC"/>
    <w:rsid w:val="26964247"/>
    <w:rsid w:val="26D055EC"/>
    <w:rsid w:val="27005865"/>
    <w:rsid w:val="279D6865"/>
    <w:rsid w:val="27B6468A"/>
    <w:rsid w:val="27EC5BDC"/>
    <w:rsid w:val="27FB241F"/>
    <w:rsid w:val="28580B90"/>
    <w:rsid w:val="285B2563"/>
    <w:rsid w:val="28651E41"/>
    <w:rsid w:val="28BC5ABB"/>
    <w:rsid w:val="28DD1DED"/>
    <w:rsid w:val="28DE12D6"/>
    <w:rsid w:val="29383D7A"/>
    <w:rsid w:val="293C6B6A"/>
    <w:rsid w:val="294C0B60"/>
    <w:rsid w:val="298F12E9"/>
    <w:rsid w:val="29CC039F"/>
    <w:rsid w:val="29F714A0"/>
    <w:rsid w:val="2A26591A"/>
    <w:rsid w:val="2AA17670"/>
    <w:rsid w:val="2AC2111B"/>
    <w:rsid w:val="2AEB15F8"/>
    <w:rsid w:val="2AF67D48"/>
    <w:rsid w:val="2B28426D"/>
    <w:rsid w:val="2B355A43"/>
    <w:rsid w:val="2B4A1E16"/>
    <w:rsid w:val="2B674404"/>
    <w:rsid w:val="2BBD1A1D"/>
    <w:rsid w:val="2C4F5272"/>
    <w:rsid w:val="2C5147FE"/>
    <w:rsid w:val="2C845BFF"/>
    <w:rsid w:val="2CF84492"/>
    <w:rsid w:val="2D3460EF"/>
    <w:rsid w:val="2D45414D"/>
    <w:rsid w:val="2D552CA3"/>
    <w:rsid w:val="2DE2142E"/>
    <w:rsid w:val="2DEC6433"/>
    <w:rsid w:val="2DF87EF0"/>
    <w:rsid w:val="2E0467F2"/>
    <w:rsid w:val="2E347B6D"/>
    <w:rsid w:val="2E431D60"/>
    <w:rsid w:val="2E786305"/>
    <w:rsid w:val="2EE20D25"/>
    <w:rsid w:val="2F0405EC"/>
    <w:rsid w:val="2F0D6706"/>
    <w:rsid w:val="2F1D2321"/>
    <w:rsid w:val="2F243206"/>
    <w:rsid w:val="2F3D3C98"/>
    <w:rsid w:val="2F740527"/>
    <w:rsid w:val="2F9A7F98"/>
    <w:rsid w:val="2FC74039"/>
    <w:rsid w:val="2FE50B12"/>
    <w:rsid w:val="2FFE278B"/>
    <w:rsid w:val="300E30A0"/>
    <w:rsid w:val="303334FA"/>
    <w:rsid w:val="30986E0D"/>
    <w:rsid w:val="30AA2ED4"/>
    <w:rsid w:val="30B8125D"/>
    <w:rsid w:val="30CA58C6"/>
    <w:rsid w:val="30F83269"/>
    <w:rsid w:val="310746A0"/>
    <w:rsid w:val="31196975"/>
    <w:rsid w:val="316F4778"/>
    <w:rsid w:val="318D7FC7"/>
    <w:rsid w:val="31DA4769"/>
    <w:rsid w:val="31E01A56"/>
    <w:rsid w:val="3206424D"/>
    <w:rsid w:val="321C1540"/>
    <w:rsid w:val="322A4904"/>
    <w:rsid w:val="322C0057"/>
    <w:rsid w:val="325B71CF"/>
    <w:rsid w:val="325E4A52"/>
    <w:rsid w:val="32752863"/>
    <w:rsid w:val="32DF3E25"/>
    <w:rsid w:val="32EF4733"/>
    <w:rsid w:val="3323223A"/>
    <w:rsid w:val="335058AE"/>
    <w:rsid w:val="335B2837"/>
    <w:rsid w:val="33671CD2"/>
    <w:rsid w:val="337618BC"/>
    <w:rsid w:val="33A3799C"/>
    <w:rsid w:val="34190660"/>
    <w:rsid w:val="343B37B7"/>
    <w:rsid w:val="344A2837"/>
    <w:rsid w:val="349124F1"/>
    <w:rsid w:val="349A5740"/>
    <w:rsid w:val="34AB35B3"/>
    <w:rsid w:val="34C407C7"/>
    <w:rsid w:val="34CB0C41"/>
    <w:rsid w:val="34D07FD3"/>
    <w:rsid w:val="34DB0DB0"/>
    <w:rsid w:val="35C21B40"/>
    <w:rsid w:val="35D15BD4"/>
    <w:rsid w:val="36030C17"/>
    <w:rsid w:val="360F0527"/>
    <w:rsid w:val="362E5FC5"/>
    <w:rsid w:val="366711AF"/>
    <w:rsid w:val="366B2CE5"/>
    <w:rsid w:val="36811C57"/>
    <w:rsid w:val="36FF44F6"/>
    <w:rsid w:val="37270CD8"/>
    <w:rsid w:val="3753280C"/>
    <w:rsid w:val="378F27AE"/>
    <w:rsid w:val="37BC7A20"/>
    <w:rsid w:val="37D759F3"/>
    <w:rsid w:val="37D86DCA"/>
    <w:rsid w:val="37E91B0D"/>
    <w:rsid w:val="383334F1"/>
    <w:rsid w:val="38687401"/>
    <w:rsid w:val="388773D5"/>
    <w:rsid w:val="388B3040"/>
    <w:rsid w:val="38A37EB6"/>
    <w:rsid w:val="38D46E50"/>
    <w:rsid w:val="38DD0E8F"/>
    <w:rsid w:val="395F0624"/>
    <w:rsid w:val="39616589"/>
    <w:rsid w:val="397D54BD"/>
    <w:rsid w:val="39884D33"/>
    <w:rsid w:val="39AA58F8"/>
    <w:rsid w:val="39D030B9"/>
    <w:rsid w:val="39DD1E31"/>
    <w:rsid w:val="3A6315E3"/>
    <w:rsid w:val="3A7B6A1B"/>
    <w:rsid w:val="3AA65FFC"/>
    <w:rsid w:val="3AEE3A91"/>
    <w:rsid w:val="3AF17815"/>
    <w:rsid w:val="3B8D4E6B"/>
    <w:rsid w:val="3C2155EA"/>
    <w:rsid w:val="3C2D4B15"/>
    <w:rsid w:val="3C3975D6"/>
    <w:rsid w:val="3C9C46E9"/>
    <w:rsid w:val="3CAC21A2"/>
    <w:rsid w:val="3CC375F8"/>
    <w:rsid w:val="3CD01785"/>
    <w:rsid w:val="3CD62F6F"/>
    <w:rsid w:val="3CEA63B8"/>
    <w:rsid w:val="3CF45C3E"/>
    <w:rsid w:val="3D010E38"/>
    <w:rsid w:val="3D017AE8"/>
    <w:rsid w:val="3D1D15BA"/>
    <w:rsid w:val="3D64726E"/>
    <w:rsid w:val="3D6C2840"/>
    <w:rsid w:val="3D70141C"/>
    <w:rsid w:val="3D93737A"/>
    <w:rsid w:val="3D9F30B1"/>
    <w:rsid w:val="3DBB1BA6"/>
    <w:rsid w:val="3DE645EB"/>
    <w:rsid w:val="3E10217A"/>
    <w:rsid w:val="3E1A0A79"/>
    <w:rsid w:val="3E2B0E05"/>
    <w:rsid w:val="3E327925"/>
    <w:rsid w:val="3E424DE9"/>
    <w:rsid w:val="3E566A68"/>
    <w:rsid w:val="3F042684"/>
    <w:rsid w:val="3F064BA9"/>
    <w:rsid w:val="3F50057E"/>
    <w:rsid w:val="3F6E3B22"/>
    <w:rsid w:val="3FAB6C8E"/>
    <w:rsid w:val="3FAF3E3D"/>
    <w:rsid w:val="3FDC78AD"/>
    <w:rsid w:val="3FDE1C27"/>
    <w:rsid w:val="40103E7B"/>
    <w:rsid w:val="407E7215"/>
    <w:rsid w:val="40923196"/>
    <w:rsid w:val="40A16E5E"/>
    <w:rsid w:val="40BB4F4D"/>
    <w:rsid w:val="40BC06C7"/>
    <w:rsid w:val="40FB5765"/>
    <w:rsid w:val="411F10A3"/>
    <w:rsid w:val="412D4FDC"/>
    <w:rsid w:val="413402F3"/>
    <w:rsid w:val="419F78A0"/>
    <w:rsid w:val="41AF1211"/>
    <w:rsid w:val="41E66612"/>
    <w:rsid w:val="4268449D"/>
    <w:rsid w:val="42B62B5B"/>
    <w:rsid w:val="42C32431"/>
    <w:rsid w:val="42DB0A87"/>
    <w:rsid w:val="42E32C50"/>
    <w:rsid w:val="42E37275"/>
    <w:rsid w:val="42F665B1"/>
    <w:rsid w:val="43381612"/>
    <w:rsid w:val="437C61CD"/>
    <w:rsid w:val="438062B4"/>
    <w:rsid w:val="439445E0"/>
    <w:rsid w:val="43AE7F82"/>
    <w:rsid w:val="43BC78F8"/>
    <w:rsid w:val="43C1155C"/>
    <w:rsid w:val="43EF11D2"/>
    <w:rsid w:val="440C530C"/>
    <w:rsid w:val="444A07CC"/>
    <w:rsid w:val="44714B0F"/>
    <w:rsid w:val="44876B0D"/>
    <w:rsid w:val="44AC6A4A"/>
    <w:rsid w:val="44B21CE6"/>
    <w:rsid w:val="44E35EA7"/>
    <w:rsid w:val="44ED1679"/>
    <w:rsid w:val="44F53D30"/>
    <w:rsid w:val="44F9775B"/>
    <w:rsid w:val="455632FF"/>
    <w:rsid w:val="455E7309"/>
    <w:rsid w:val="45611CB5"/>
    <w:rsid w:val="45662CB3"/>
    <w:rsid w:val="456B4154"/>
    <w:rsid w:val="45D751AA"/>
    <w:rsid w:val="466E48A1"/>
    <w:rsid w:val="468156AE"/>
    <w:rsid w:val="46B8648E"/>
    <w:rsid w:val="46C91E71"/>
    <w:rsid w:val="47324411"/>
    <w:rsid w:val="475052AE"/>
    <w:rsid w:val="47704F74"/>
    <w:rsid w:val="477879E4"/>
    <w:rsid w:val="47C10EA0"/>
    <w:rsid w:val="47F82FD6"/>
    <w:rsid w:val="480E5A6F"/>
    <w:rsid w:val="4840129A"/>
    <w:rsid w:val="48EC3422"/>
    <w:rsid w:val="490C205B"/>
    <w:rsid w:val="49922027"/>
    <w:rsid w:val="49EC0AF4"/>
    <w:rsid w:val="4A0F5443"/>
    <w:rsid w:val="4A1B0296"/>
    <w:rsid w:val="4A4B2E97"/>
    <w:rsid w:val="4A4C3DE0"/>
    <w:rsid w:val="4A780CE5"/>
    <w:rsid w:val="4A7865D2"/>
    <w:rsid w:val="4A830E92"/>
    <w:rsid w:val="4A905564"/>
    <w:rsid w:val="4AB87B80"/>
    <w:rsid w:val="4AED5777"/>
    <w:rsid w:val="4AFE26BA"/>
    <w:rsid w:val="4B064D09"/>
    <w:rsid w:val="4B3F62A5"/>
    <w:rsid w:val="4B4C33F5"/>
    <w:rsid w:val="4B7145D4"/>
    <w:rsid w:val="4BAA2A29"/>
    <w:rsid w:val="4BC43D47"/>
    <w:rsid w:val="4C4220B9"/>
    <w:rsid w:val="4C63256E"/>
    <w:rsid w:val="4CC100D2"/>
    <w:rsid w:val="4CD0100F"/>
    <w:rsid w:val="4D19223A"/>
    <w:rsid w:val="4D9B43D3"/>
    <w:rsid w:val="4DA21321"/>
    <w:rsid w:val="4DCC31CD"/>
    <w:rsid w:val="4DF205D9"/>
    <w:rsid w:val="4DF70D95"/>
    <w:rsid w:val="4E555DBE"/>
    <w:rsid w:val="4EC61921"/>
    <w:rsid w:val="4F15617E"/>
    <w:rsid w:val="4F316818"/>
    <w:rsid w:val="4F4C3996"/>
    <w:rsid w:val="4FA14122"/>
    <w:rsid w:val="4FBB0C02"/>
    <w:rsid w:val="50012D63"/>
    <w:rsid w:val="50040464"/>
    <w:rsid w:val="50115BEC"/>
    <w:rsid w:val="505702EC"/>
    <w:rsid w:val="508E3344"/>
    <w:rsid w:val="50963D96"/>
    <w:rsid w:val="50FA0336"/>
    <w:rsid w:val="512A0E19"/>
    <w:rsid w:val="517E78B9"/>
    <w:rsid w:val="51996FB3"/>
    <w:rsid w:val="519A508C"/>
    <w:rsid w:val="52653E45"/>
    <w:rsid w:val="526E1A4D"/>
    <w:rsid w:val="52B06F99"/>
    <w:rsid w:val="52B314AF"/>
    <w:rsid w:val="52D215C4"/>
    <w:rsid w:val="53336BC6"/>
    <w:rsid w:val="535A63F6"/>
    <w:rsid w:val="5361745F"/>
    <w:rsid w:val="53775A9E"/>
    <w:rsid w:val="537D64D6"/>
    <w:rsid w:val="5383135C"/>
    <w:rsid w:val="53B467D5"/>
    <w:rsid w:val="53BF05EA"/>
    <w:rsid w:val="53F32B16"/>
    <w:rsid w:val="54103C0B"/>
    <w:rsid w:val="541166DB"/>
    <w:rsid w:val="543E7FCD"/>
    <w:rsid w:val="54617393"/>
    <w:rsid w:val="54917A93"/>
    <w:rsid w:val="54F2229E"/>
    <w:rsid w:val="55022456"/>
    <w:rsid w:val="551B429B"/>
    <w:rsid w:val="55213159"/>
    <w:rsid w:val="554F1F2D"/>
    <w:rsid w:val="559A217A"/>
    <w:rsid w:val="55B11BDD"/>
    <w:rsid w:val="55CB0CC3"/>
    <w:rsid w:val="55E10356"/>
    <w:rsid w:val="55EE2F63"/>
    <w:rsid w:val="564F0341"/>
    <w:rsid w:val="565371AF"/>
    <w:rsid w:val="566E083E"/>
    <w:rsid w:val="5691627E"/>
    <w:rsid w:val="56D54068"/>
    <w:rsid w:val="56EE7E34"/>
    <w:rsid w:val="5744444C"/>
    <w:rsid w:val="57616B4E"/>
    <w:rsid w:val="576417A9"/>
    <w:rsid w:val="579715CF"/>
    <w:rsid w:val="57F038C0"/>
    <w:rsid w:val="57F12A11"/>
    <w:rsid w:val="580764A3"/>
    <w:rsid w:val="583F3E8F"/>
    <w:rsid w:val="58643831"/>
    <w:rsid w:val="5867301D"/>
    <w:rsid w:val="58695D27"/>
    <w:rsid w:val="58D4636D"/>
    <w:rsid w:val="591064E5"/>
    <w:rsid w:val="592C4E0B"/>
    <w:rsid w:val="59696C17"/>
    <w:rsid w:val="59A04581"/>
    <w:rsid w:val="59CD386B"/>
    <w:rsid w:val="59EE0164"/>
    <w:rsid w:val="5A036292"/>
    <w:rsid w:val="5A372C69"/>
    <w:rsid w:val="5A9555C7"/>
    <w:rsid w:val="5AA75554"/>
    <w:rsid w:val="5AB613E3"/>
    <w:rsid w:val="5AEB5C08"/>
    <w:rsid w:val="5B07285D"/>
    <w:rsid w:val="5B695106"/>
    <w:rsid w:val="5B8F039E"/>
    <w:rsid w:val="5BA23E75"/>
    <w:rsid w:val="5BAE021F"/>
    <w:rsid w:val="5BB760A5"/>
    <w:rsid w:val="5BC01BBD"/>
    <w:rsid w:val="5BD748B6"/>
    <w:rsid w:val="5BD8743C"/>
    <w:rsid w:val="5C2152EE"/>
    <w:rsid w:val="5C501309"/>
    <w:rsid w:val="5CA2217D"/>
    <w:rsid w:val="5CB00B41"/>
    <w:rsid w:val="5CC010A5"/>
    <w:rsid w:val="5CED5482"/>
    <w:rsid w:val="5CEF1179"/>
    <w:rsid w:val="5D0E599D"/>
    <w:rsid w:val="5D336714"/>
    <w:rsid w:val="5D7C60BB"/>
    <w:rsid w:val="5DD2766C"/>
    <w:rsid w:val="5E1C0202"/>
    <w:rsid w:val="5E472380"/>
    <w:rsid w:val="5E487324"/>
    <w:rsid w:val="5E64189A"/>
    <w:rsid w:val="5E7E63D9"/>
    <w:rsid w:val="5E9112BE"/>
    <w:rsid w:val="5E96216D"/>
    <w:rsid w:val="5E970484"/>
    <w:rsid w:val="5EF27BE5"/>
    <w:rsid w:val="5F235CF5"/>
    <w:rsid w:val="5F2A6D01"/>
    <w:rsid w:val="5F7F0725"/>
    <w:rsid w:val="5FAC4A23"/>
    <w:rsid w:val="5FBD47EC"/>
    <w:rsid w:val="5FBF4F82"/>
    <w:rsid w:val="5FE42931"/>
    <w:rsid w:val="5FEB4A3B"/>
    <w:rsid w:val="5FEF03C7"/>
    <w:rsid w:val="6053433B"/>
    <w:rsid w:val="606A159E"/>
    <w:rsid w:val="6078764F"/>
    <w:rsid w:val="60AF6C3B"/>
    <w:rsid w:val="60DB4C6B"/>
    <w:rsid w:val="61060D86"/>
    <w:rsid w:val="61442BA4"/>
    <w:rsid w:val="615E35D8"/>
    <w:rsid w:val="617B6320"/>
    <w:rsid w:val="619B11DB"/>
    <w:rsid w:val="61B42B10"/>
    <w:rsid w:val="61BE22DF"/>
    <w:rsid w:val="61D640D2"/>
    <w:rsid w:val="61E75C55"/>
    <w:rsid w:val="61F15D08"/>
    <w:rsid w:val="62055087"/>
    <w:rsid w:val="623C0E5B"/>
    <w:rsid w:val="625653BB"/>
    <w:rsid w:val="625E37CE"/>
    <w:rsid w:val="626B038B"/>
    <w:rsid w:val="626C41BF"/>
    <w:rsid w:val="629B5D67"/>
    <w:rsid w:val="62AD5B16"/>
    <w:rsid w:val="62ED4E2F"/>
    <w:rsid w:val="631646BF"/>
    <w:rsid w:val="632932EA"/>
    <w:rsid w:val="637166A6"/>
    <w:rsid w:val="63D1031E"/>
    <w:rsid w:val="63E10F6C"/>
    <w:rsid w:val="63E36411"/>
    <w:rsid w:val="63F40985"/>
    <w:rsid w:val="64007030"/>
    <w:rsid w:val="64192B89"/>
    <w:rsid w:val="64324192"/>
    <w:rsid w:val="64616FC6"/>
    <w:rsid w:val="649A664B"/>
    <w:rsid w:val="64A958B7"/>
    <w:rsid w:val="64E624CB"/>
    <w:rsid w:val="658B49F0"/>
    <w:rsid w:val="65BF062D"/>
    <w:rsid w:val="667D7425"/>
    <w:rsid w:val="66AE211D"/>
    <w:rsid w:val="66C83DF3"/>
    <w:rsid w:val="66D554AA"/>
    <w:rsid w:val="67127086"/>
    <w:rsid w:val="67395D62"/>
    <w:rsid w:val="67405918"/>
    <w:rsid w:val="6752663C"/>
    <w:rsid w:val="676725CE"/>
    <w:rsid w:val="67832EAC"/>
    <w:rsid w:val="678B7353"/>
    <w:rsid w:val="67AC6AF6"/>
    <w:rsid w:val="67F4524C"/>
    <w:rsid w:val="681111FC"/>
    <w:rsid w:val="68412C16"/>
    <w:rsid w:val="689120E9"/>
    <w:rsid w:val="689304E6"/>
    <w:rsid w:val="68AB0B31"/>
    <w:rsid w:val="69233647"/>
    <w:rsid w:val="69516038"/>
    <w:rsid w:val="69561F02"/>
    <w:rsid w:val="69787DA6"/>
    <w:rsid w:val="698C2E94"/>
    <w:rsid w:val="69961E64"/>
    <w:rsid w:val="69993366"/>
    <w:rsid w:val="69ED4B52"/>
    <w:rsid w:val="6A192DC2"/>
    <w:rsid w:val="6A3F643C"/>
    <w:rsid w:val="6A4963F6"/>
    <w:rsid w:val="6A56748F"/>
    <w:rsid w:val="6A575E31"/>
    <w:rsid w:val="6A73404E"/>
    <w:rsid w:val="6A8769AD"/>
    <w:rsid w:val="6A953EBF"/>
    <w:rsid w:val="6A9E040D"/>
    <w:rsid w:val="6B247481"/>
    <w:rsid w:val="6B3D7864"/>
    <w:rsid w:val="6B587880"/>
    <w:rsid w:val="6B647AA5"/>
    <w:rsid w:val="6BA32E6D"/>
    <w:rsid w:val="6BAD566C"/>
    <w:rsid w:val="6C30478A"/>
    <w:rsid w:val="6C5279F0"/>
    <w:rsid w:val="6D076948"/>
    <w:rsid w:val="6D116475"/>
    <w:rsid w:val="6D5D088A"/>
    <w:rsid w:val="6D6137F2"/>
    <w:rsid w:val="6D792E30"/>
    <w:rsid w:val="6D9749B4"/>
    <w:rsid w:val="6D99380F"/>
    <w:rsid w:val="6DAE1B7B"/>
    <w:rsid w:val="6DB058AE"/>
    <w:rsid w:val="6DBD2325"/>
    <w:rsid w:val="6DC079C3"/>
    <w:rsid w:val="6DEF5772"/>
    <w:rsid w:val="6DF33B5F"/>
    <w:rsid w:val="6DF33D9B"/>
    <w:rsid w:val="6E224C5E"/>
    <w:rsid w:val="6E5D6DD7"/>
    <w:rsid w:val="6ED92CB0"/>
    <w:rsid w:val="6EE41D73"/>
    <w:rsid w:val="6EF7666B"/>
    <w:rsid w:val="6F0121B0"/>
    <w:rsid w:val="6F0E4FC4"/>
    <w:rsid w:val="6F1378E2"/>
    <w:rsid w:val="6F5F0E86"/>
    <w:rsid w:val="6F64648F"/>
    <w:rsid w:val="6FBC7F9E"/>
    <w:rsid w:val="706639C8"/>
    <w:rsid w:val="707B23FA"/>
    <w:rsid w:val="70B100D4"/>
    <w:rsid w:val="70F2429C"/>
    <w:rsid w:val="71342100"/>
    <w:rsid w:val="715C2CB4"/>
    <w:rsid w:val="716F16D1"/>
    <w:rsid w:val="71795E08"/>
    <w:rsid w:val="718F17ED"/>
    <w:rsid w:val="71BF367A"/>
    <w:rsid w:val="71CE25A4"/>
    <w:rsid w:val="71D21EFE"/>
    <w:rsid w:val="71DF3877"/>
    <w:rsid w:val="71F2066F"/>
    <w:rsid w:val="7261498A"/>
    <w:rsid w:val="72620D2E"/>
    <w:rsid w:val="72EC17C0"/>
    <w:rsid w:val="731A1E64"/>
    <w:rsid w:val="733A06B3"/>
    <w:rsid w:val="73451D79"/>
    <w:rsid w:val="73543B47"/>
    <w:rsid w:val="73683E42"/>
    <w:rsid w:val="73C37150"/>
    <w:rsid w:val="73C71E3E"/>
    <w:rsid w:val="73E42497"/>
    <w:rsid w:val="73E70C8B"/>
    <w:rsid w:val="73F61544"/>
    <w:rsid w:val="74111D5F"/>
    <w:rsid w:val="742A3EE5"/>
    <w:rsid w:val="74552A0F"/>
    <w:rsid w:val="74681C20"/>
    <w:rsid w:val="7498637C"/>
    <w:rsid w:val="749F3CFA"/>
    <w:rsid w:val="74CD1BA5"/>
    <w:rsid w:val="74D700C5"/>
    <w:rsid w:val="74E32BD0"/>
    <w:rsid w:val="74E8646B"/>
    <w:rsid w:val="75096F5F"/>
    <w:rsid w:val="7527777C"/>
    <w:rsid w:val="752E1410"/>
    <w:rsid w:val="75395256"/>
    <w:rsid w:val="75622442"/>
    <w:rsid w:val="7568002F"/>
    <w:rsid w:val="758A5D4B"/>
    <w:rsid w:val="759D54F0"/>
    <w:rsid w:val="75AC4804"/>
    <w:rsid w:val="75B236B1"/>
    <w:rsid w:val="75CF08A9"/>
    <w:rsid w:val="75F928B0"/>
    <w:rsid w:val="76444366"/>
    <w:rsid w:val="76920715"/>
    <w:rsid w:val="771358E0"/>
    <w:rsid w:val="7714226A"/>
    <w:rsid w:val="771F3407"/>
    <w:rsid w:val="7741406E"/>
    <w:rsid w:val="77752E5E"/>
    <w:rsid w:val="777E4AA1"/>
    <w:rsid w:val="77FC0FFD"/>
    <w:rsid w:val="7814751C"/>
    <w:rsid w:val="78213642"/>
    <w:rsid w:val="78242DCF"/>
    <w:rsid w:val="78412EB3"/>
    <w:rsid w:val="78860C66"/>
    <w:rsid w:val="78A33901"/>
    <w:rsid w:val="78B83784"/>
    <w:rsid w:val="78CA44A4"/>
    <w:rsid w:val="78D84447"/>
    <w:rsid w:val="793331D2"/>
    <w:rsid w:val="794050F1"/>
    <w:rsid w:val="7958230F"/>
    <w:rsid w:val="7A334F44"/>
    <w:rsid w:val="7A7D10BB"/>
    <w:rsid w:val="7A94376E"/>
    <w:rsid w:val="7ACF755D"/>
    <w:rsid w:val="7AF44DFF"/>
    <w:rsid w:val="7AF81AEE"/>
    <w:rsid w:val="7B2038CF"/>
    <w:rsid w:val="7B344F29"/>
    <w:rsid w:val="7B6FAC40"/>
    <w:rsid w:val="7BAA5BD3"/>
    <w:rsid w:val="7BC82D80"/>
    <w:rsid w:val="7C1572C4"/>
    <w:rsid w:val="7C1A4FB7"/>
    <w:rsid w:val="7C2823C0"/>
    <w:rsid w:val="7C615E5D"/>
    <w:rsid w:val="7CA32045"/>
    <w:rsid w:val="7D1D5766"/>
    <w:rsid w:val="7D1D5FD5"/>
    <w:rsid w:val="7D432CFA"/>
    <w:rsid w:val="7D515B30"/>
    <w:rsid w:val="7D544556"/>
    <w:rsid w:val="7D5D609A"/>
    <w:rsid w:val="7DA515B5"/>
    <w:rsid w:val="7DB03A72"/>
    <w:rsid w:val="7DD345AE"/>
    <w:rsid w:val="7DF15CE6"/>
    <w:rsid w:val="7E133A1F"/>
    <w:rsid w:val="7E3700DD"/>
    <w:rsid w:val="7E707511"/>
    <w:rsid w:val="7E9D0D32"/>
    <w:rsid w:val="7EB34422"/>
    <w:rsid w:val="7ED72300"/>
    <w:rsid w:val="7F063F7E"/>
    <w:rsid w:val="7F3E5A43"/>
    <w:rsid w:val="7F9758CD"/>
    <w:rsid w:val="7F9C2AE6"/>
    <w:rsid w:val="7FB73B1F"/>
    <w:rsid w:val="7FBE0842"/>
    <w:rsid w:val="7FEC41DB"/>
    <w:rsid w:val="DF74833A"/>
    <w:rsid w:val="FC7DD48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widowControl/>
      <w:spacing w:before="100" w:beforeAutospacing="1" w:after="100" w:afterAutospacing="1" w:line="420" w:lineRule="atLeast"/>
      <w:ind w:firstLine="480"/>
      <w:jc w:val="left"/>
    </w:pPr>
    <w:rPr>
      <w:rFonts w:ascii="宋体" w:hAnsi="宋体" w:cs="宋体"/>
      <w:kern w:val="0"/>
      <w:sz w:val="24"/>
    </w:rPr>
  </w:style>
  <w:style w:type="table" w:styleId="6">
    <w:name w:val="Table Grid"/>
    <w:basedOn w:val="5"/>
    <w:unhideWhenUsed/>
    <w:qFormat/>
    <w:uiPriority w:val="99"/>
    <w:pPr>
      <w:widowControl w:val="0"/>
      <w:jc w:val="both"/>
    </w:pPr>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8">
    <w:name w:val="页脚 Char"/>
    <w:basedOn w:val="7"/>
    <w:link w:val="2"/>
    <w:qFormat/>
    <w:uiPriority w:val="99"/>
    <w:rPr>
      <w:rFonts w:ascii="Times New Roman" w:hAnsi="Times New Roman" w:eastAsia="宋体" w:cs="Times New Roman"/>
      <w:sz w:val="18"/>
      <w:szCs w:val="20"/>
    </w:rPr>
  </w:style>
  <w:style w:type="character" w:customStyle="1" w:styleId="9">
    <w:name w:val="页眉 Char"/>
    <w:basedOn w:val="7"/>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7" textRotate="1"/>
  </customShpExts>
</s:customData>
</file>

<file path=customXml/item2.xml><?xml version="1.0" encoding="utf-8"?>
<b:Sources xmlns:b="http://schemas.openxmlformats.org/officeDocument/2006/bibliography" StyleName="" SelectedStyl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872A6B-6004-44B0-AEAC-7F28F860424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16</Pages>
  <Words>7481</Words>
  <Characters>7555</Characters>
  <Lines>59</Lines>
  <Paragraphs>16</Paragraphs>
  <TotalTime>3</TotalTime>
  <ScaleCrop>false</ScaleCrop>
  <LinksUpToDate>false</LinksUpToDate>
  <CharactersWithSpaces>7861</CharactersWithSpaces>
  <Application>WPS Office_12.1.2.23582_F1E327BC-269C-435d-A152-05C5408002CA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2019-08-15T16:44:00Z</dcterms:created>
  <dc:creator>Administrator</dc:creator>
  <cp:lastModifiedBy>SXTC</cp:lastModifiedBy>
  <cp:lastPrinted>2026-09-08T00:25:00Z</cp:lastPrinted>
  <dcterms:modified xsi:type="dcterms:W3CDTF">2026-10-08T15:09:25Z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2052-12.1.2.23582</vt:lpwstr>
  </property>
  <property fmtid="{D5CDD505-2E9C-101B-9397-08002B2CF9AE}" pid="3" name="ICV">
    <vt:lpwstr>93508320358F4411B0C2FDD994583387_12</vt:lpwstr>
  </property>
  <property fmtid="{D5CDD505-2E9C-101B-9397-08002B2CF9AE}" pid="4" name="KSOTemplateDocerSaveRecord">
    <vt:lpwstr>eyJoZGlkIjoiNTk2YTBjMmI3NDM5N2ZmYmFkMWY3ZGUzYzA5NTE1MDkiLCJ1c2VySWQiOiIyNTQzMzU4ODYifQ==</vt:lpwstr>
  </property>
</Properties>
</file>