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93" w:beforeLines="30" w:after="93" w:afterLines="30" w:line="57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全市数字经济签约项目进展情况汇总</w:t>
      </w:r>
    </w:p>
    <w:tbl>
      <w:tblPr>
        <w:tblStyle w:val="4"/>
        <w:tblW w:w="87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977"/>
        <w:gridCol w:w="1134"/>
        <w:gridCol w:w="1134"/>
        <w:gridCol w:w="1417"/>
        <w:gridCol w:w="1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694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977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签约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项目数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涉及资金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（亿元）</w:t>
            </w:r>
          </w:p>
        </w:tc>
        <w:tc>
          <w:tcPr>
            <w:tcW w:w="1417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建成及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在建项目数</w:t>
            </w:r>
          </w:p>
        </w:tc>
        <w:tc>
          <w:tcPr>
            <w:tcW w:w="1418" w:type="dxa"/>
            <w:tcBorders>
              <w:top w:val="single" w:color="000000" w:sz="12" w:space="0"/>
              <w:bottom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到位资金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（亿元）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耀州区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17.4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王益区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31.7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印台区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28.3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宜君县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4.66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市新区管委会（含高新区管委会）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89.44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新材料产业园区管委会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82.4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耀州窑文化基地管委会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陈炉古镇景区管委会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1.4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市委军民融合办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43.9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市发展改革委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市工信局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40.0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市科技局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35.8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市人社局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市卫健委（含中医药发展中心）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市农业农村局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0.7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市国资委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30.0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市贸促会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市金融办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1.05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29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市政府驻北京联络处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1.0</w:t>
            </w:r>
          </w:p>
        </w:tc>
        <w:tc>
          <w:tcPr>
            <w:tcW w:w="14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hAns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71" w:type="dxa"/>
            <w:gridSpan w:val="2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138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453.55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14.</w:t>
            </w:r>
            <w:r>
              <w:rPr>
                <w:rFonts w:ascii="黑体" w:hAnsi="黑体" w:eastAsia="黑体"/>
                <w:szCs w:val="21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C6703"/>
    <w:rsid w:val="53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2021-05-31T00:34:00Z</dcterms:created>
  <dc:creator>lenovo</dc:creator>
  <cp:lastModifiedBy>水营之寨</cp:lastModifiedBy>
  <dcterms:modified xsi:type="dcterms:W3CDTF">2021-09-13T02:04:02Z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C9372481625A47ABBA3B4F6826DFAEBC</vt:lpwstr>
  </property>
</Properties>
</file>