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黑体" w:hAnsi="宋体" w:eastAsia="黑体" w:cs="方正小标宋简体"/>
          <w:spacing w:val="-6"/>
          <w:sz w:val="32"/>
          <w:szCs w:val="32"/>
        </w:rPr>
      </w:pPr>
      <w:r>
        <w:rPr>
          <w:rFonts w:hint="eastAsia" w:ascii="黑体" w:hAnsi="黑体" w:eastAsia="黑体" w:cs="方正小标宋简体"/>
          <w:spacing w:val="-6"/>
          <w:sz w:val="32"/>
          <w:szCs w:val="32"/>
        </w:rPr>
        <w:t>附件</w:t>
      </w:r>
      <w:r>
        <w:rPr>
          <w:rFonts w:hint="eastAsia" w:ascii="黑体" w:hAnsi="宋体" w:eastAsia="黑体" w:cs="方正小标宋简体"/>
          <w:spacing w:val="-6"/>
          <w:sz w:val="32"/>
          <w:szCs w:val="32"/>
        </w:rPr>
        <w:t>1</w:t>
      </w:r>
    </w:p>
    <w:p>
      <w:pPr>
        <w:spacing w:line="66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2021年数字经济产业实施项目推进情况</w:t>
      </w:r>
    </w:p>
    <w:p>
      <w:pPr>
        <w:pStyle w:val="4"/>
        <w:widowControl/>
        <w:ind w:firstLine="536"/>
        <w:jc w:val="center"/>
        <w:rPr>
          <w:rFonts w:ascii="方正小标宋简体" w:hAnsi="宋体" w:eastAsia="方正小标宋简体" w:cs="黑体"/>
          <w:spacing w:val="-6"/>
          <w:sz w:val="28"/>
          <w:szCs w:val="28"/>
        </w:rPr>
      </w:pPr>
      <w:r>
        <w:rPr>
          <w:rFonts w:hint="eastAsia" w:ascii="方正小标宋简体" w:hAnsi="宋体" w:eastAsia="方正小标宋简体" w:cs="黑体"/>
          <w:spacing w:val="-6"/>
          <w:sz w:val="28"/>
          <w:szCs w:val="28"/>
        </w:rPr>
        <w:t>【基础设施及产业类  21个】</w:t>
      </w:r>
    </w:p>
    <w:tbl>
      <w:tblPr>
        <w:tblStyle w:val="6"/>
        <w:tblW w:w="132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696"/>
        <w:gridCol w:w="1565"/>
        <w:gridCol w:w="973"/>
        <w:gridCol w:w="3952"/>
        <w:gridCol w:w="2663"/>
        <w:gridCol w:w="896"/>
        <w:gridCol w:w="8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atLeast"/>
          <w:tblHeader/>
          <w:jc w:val="center"/>
        </w:trPr>
        <w:tc>
          <w:tcPr>
            <w:tcW w:w="592" w:type="dxa"/>
            <w:tcBorders>
              <w:top w:val="single" w:color="auto" w:sz="12" w:space="0"/>
              <w:bottom w:val="single" w:color="auto" w:sz="12" w:space="0"/>
            </w:tcBorders>
            <w:shd w:val="clear" w:color="auto" w:fill="D7D7D7"/>
            <w:noWrap w:val="0"/>
            <w:vAlign w:val="center"/>
          </w:tcPr>
          <w:p>
            <w:pPr>
              <w:spacing w:line="360" w:lineRule="exact"/>
              <w:jc w:val="center"/>
              <w:rPr>
                <w:rFonts w:ascii="Calibri" w:hAnsi="Calibri"/>
                <w:szCs w:val="21"/>
              </w:rPr>
            </w:pPr>
            <w:r>
              <w:rPr>
                <w:rFonts w:hint="eastAsia" w:ascii="黑体" w:hAnsi="宋体" w:eastAsia="黑体"/>
                <w:spacing w:val="-6"/>
                <w:sz w:val="18"/>
                <w:szCs w:val="18"/>
              </w:rPr>
              <w:t>序号</w:t>
            </w:r>
          </w:p>
        </w:tc>
        <w:tc>
          <w:tcPr>
            <w:tcW w:w="1696" w:type="dxa"/>
            <w:tcBorders>
              <w:top w:val="single" w:color="auto" w:sz="12" w:space="0"/>
              <w:bottom w:val="single" w:color="auto" w:sz="12" w:space="0"/>
            </w:tcBorders>
            <w:shd w:val="clear" w:color="auto" w:fill="D7D7D7"/>
            <w:noWrap w:val="0"/>
            <w:vAlign w:val="center"/>
          </w:tcPr>
          <w:p>
            <w:pPr>
              <w:spacing w:line="360" w:lineRule="exact"/>
              <w:jc w:val="center"/>
              <w:rPr>
                <w:rFonts w:ascii="黑体" w:hAnsi="宋体" w:eastAsia="黑体"/>
                <w:spacing w:val="-6"/>
                <w:sz w:val="18"/>
                <w:szCs w:val="18"/>
              </w:rPr>
            </w:pPr>
            <w:r>
              <w:rPr>
                <w:rFonts w:hint="eastAsia" w:ascii="黑体" w:hAnsi="宋体" w:eastAsia="黑体"/>
                <w:spacing w:val="-6"/>
                <w:sz w:val="18"/>
                <w:szCs w:val="18"/>
              </w:rPr>
              <w:t>项目名称</w:t>
            </w:r>
          </w:p>
        </w:tc>
        <w:tc>
          <w:tcPr>
            <w:tcW w:w="1565" w:type="dxa"/>
            <w:tcBorders>
              <w:top w:val="single" w:color="auto" w:sz="12" w:space="0"/>
              <w:bottom w:val="single" w:color="auto" w:sz="12" w:space="0"/>
            </w:tcBorders>
            <w:shd w:val="clear" w:color="auto" w:fill="D7D7D7"/>
            <w:noWrap w:val="0"/>
            <w:vAlign w:val="center"/>
          </w:tcPr>
          <w:p>
            <w:pPr>
              <w:spacing w:line="360" w:lineRule="exact"/>
              <w:jc w:val="center"/>
              <w:rPr>
                <w:rFonts w:ascii="黑体" w:hAnsi="宋体" w:eastAsia="黑体"/>
                <w:spacing w:val="-6"/>
                <w:sz w:val="18"/>
                <w:szCs w:val="18"/>
              </w:rPr>
            </w:pPr>
            <w:r>
              <w:rPr>
                <w:rFonts w:hint="eastAsia" w:ascii="黑体" w:hAnsi="宋体" w:eastAsia="黑体"/>
                <w:spacing w:val="-6"/>
                <w:sz w:val="18"/>
                <w:szCs w:val="18"/>
              </w:rPr>
              <w:t>项目主体</w:t>
            </w:r>
          </w:p>
        </w:tc>
        <w:tc>
          <w:tcPr>
            <w:tcW w:w="973" w:type="dxa"/>
            <w:tcBorders>
              <w:top w:val="single" w:color="auto" w:sz="12" w:space="0"/>
              <w:bottom w:val="single" w:color="auto" w:sz="12" w:space="0"/>
            </w:tcBorders>
            <w:shd w:val="clear" w:color="auto" w:fill="D7D7D7"/>
            <w:noWrap w:val="0"/>
            <w:vAlign w:val="center"/>
          </w:tcPr>
          <w:p>
            <w:pPr>
              <w:spacing w:line="360" w:lineRule="exact"/>
              <w:jc w:val="center"/>
              <w:rPr>
                <w:rFonts w:ascii="黑体" w:hAnsi="宋体" w:eastAsia="黑体"/>
                <w:spacing w:val="-6"/>
                <w:sz w:val="18"/>
                <w:szCs w:val="18"/>
              </w:rPr>
            </w:pPr>
            <w:r>
              <w:rPr>
                <w:rFonts w:hint="eastAsia" w:ascii="黑体" w:hAnsi="宋体" w:eastAsia="黑体"/>
                <w:spacing w:val="-6"/>
                <w:sz w:val="18"/>
                <w:szCs w:val="18"/>
              </w:rPr>
              <w:t>总投资额</w:t>
            </w:r>
          </w:p>
          <w:p>
            <w:pPr>
              <w:spacing w:line="360" w:lineRule="exact"/>
              <w:jc w:val="center"/>
              <w:rPr>
                <w:rFonts w:ascii="黑体" w:hAnsi="宋体" w:eastAsia="黑体"/>
                <w:spacing w:val="-6"/>
                <w:sz w:val="18"/>
                <w:szCs w:val="18"/>
              </w:rPr>
            </w:pPr>
            <w:r>
              <w:rPr>
                <w:rFonts w:hint="eastAsia" w:ascii="黑体" w:hAnsi="宋体" w:eastAsia="黑体"/>
                <w:spacing w:val="-6"/>
                <w:sz w:val="18"/>
                <w:szCs w:val="18"/>
              </w:rPr>
              <w:t>（万元）</w:t>
            </w:r>
          </w:p>
        </w:tc>
        <w:tc>
          <w:tcPr>
            <w:tcW w:w="3952" w:type="dxa"/>
            <w:tcBorders>
              <w:top w:val="single" w:color="auto" w:sz="12" w:space="0"/>
              <w:bottom w:val="single" w:color="auto" w:sz="12" w:space="0"/>
            </w:tcBorders>
            <w:shd w:val="clear" w:color="auto" w:fill="D7D7D7"/>
            <w:noWrap w:val="0"/>
            <w:vAlign w:val="center"/>
          </w:tcPr>
          <w:p>
            <w:pPr>
              <w:spacing w:line="360" w:lineRule="exact"/>
              <w:jc w:val="center"/>
              <w:rPr>
                <w:rFonts w:ascii="黑体" w:hAnsi="宋体" w:eastAsia="黑体"/>
                <w:spacing w:val="-6"/>
                <w:sz w:val="18"/>
                <w:szCs w:val="18"/>
              </w:rPr>
            </w:pPr>
            <w:r>
              <w:rPr>
                <w:rFonts w:hint="eastAsia" w:ascii="黑体" w:hAnsi="宋体" w:eastAsia="黑体"/>
                <w:spacing w:val="-6"/>
                <w:sz w:val="18"/>
                <w:szCs w:val="18"/>
              </w:rPr>
              <w:t>建设内容</w:t>
            </w:r>
          </w:p>
        </w:tc>
        <w:tc>
          <w:tcPr>
            <w:tcW w:w="2663" w:type="dxa"/>
            <w:tcBorders>
              <w:top w:val="single" w:color="auto" w:sz="12" w:space="0"/>
              <w:bottom w:val="single" w:color="auto" w:sz="12" w:space="0"/>
            </w:tcBorders>
            <w:shd w:val="clear" w:color="auto" w:fill="D7D7D7"/>
            <w:noWrap w:val="0"/>
            <w:vAlign w:val="center"/>
          </w:tcPr>
          <w:p>
            <w:pPr>
              <w:spacing w:line="360" w:lineRule="exact"/>
              <w:jc w:val="center"/>
              <w:rPr>
                <w:rFonts w:ascii="黑体" w:hAnsi="宋体" w:eastAsia="黑体"/>
                <w:spacing w:val="-6"/>
                <w:sz w:val="18"/>
                <w:szCs w:val="18"/>
              </w:rPr>
            </w:pPr>
            <w:r>
              <w:rPr>
                <w:rFonts w:hint="eastAsia" w:ascii="黑体" w:hAnsi="宋体" w:eastAsia="黑体"/>
                <w:spacing w:val="-6"/>
                <w:sz w:val="18"/>
                <w:szCs w:val="18"/>
              </w:rPr>
              <w:t>项目进度</w:t>
            </w:r>
          </w:p>
        </w:tc>
        <w:tc>
          <w:tcPr>
            <w:tcW w:w="896" w:type="dxa"/>
            <w:tcBorders>
              <w:top w:val="single" w:color="auto" w:sz="12" w:space="0"/>
              <w:bottom w:val="single" w:color="auto" w:sz="12" w:space="0"/>
            </w:tcBorders>
            <w:shd w:val="clear" w:color="auto" w:fill="D7D7D7"/>
            <w:noWrap w:val="0"/>
            <w:vAlign w:val="center"/>
          </w:tcPr>
          <w:p>
            <w:pPr>
              <w:spacing w:line="360" w:lineRule="exact"/>
              <w:jc w:val="center"/>
              <w:rPr>
                <w:rFonts w:ascii="黑体" w:hAnsi="宋体" w:eastAsia="黑体"/>
                <w:spacing w:val="-6"/>
                <w:sz w:val="18"/>
                <w:szCs w:val="18"/>
              </w:rPr>
            </w:pPr>
            <w:r>
              <w:rPr>
                <w:rFonts w:hint="eastAsia" w:ascii="黑体" w:hAnsi="宋体" w:eastAsia="黑体"/>
                <w:spacing w:val="-6"/>
                <w:sz w:val="18"/>
                <w:szCs w:val="18"/>
              </w:rPr>
              <w:t>责任部门</w:t>
            </w:r>
          </w:p>
        </w:tc>
        <w:tc>
          <w:tcPr>
            <w:tcW w:w="869" w:type="dxa"/>
            <w:tcBorders>
              <w:top w:val="single" w:color="auto" w:sz="12" w:space="0"/>
              <w:bottom w:val="single" w:color="auto" w:sz="12" w:space="0"/>
            </w:tcBorders>
            <w:shd w:val="clear" w:color="auto" w:fill="D7D7D7"/>
            <w:noWrap w:val="0"/>
            <w:vAlign w:val="center"/>
          </w:tcPr>
          <w:p>
            <w:pPr>
              <w:spacing w:line="360" w:lineRule="exact"/>
              <w:jc w:val="center"/>
              <w:rPr>
                <w:rFonts w:ascii="Calibri" w:hAnsi="Calibri"/>
                <w:szCs w:val="21"/>
              </w:rPr>
            </w:pPr>
            <w:r>
              <w:rPr>
                <w:rFonts w:hint="eastAsia" w:ascii="黑体" w:hAnsi="宋体" w:eastAsia="黑体"/>
                <w:spacing w:val="-6"/>
                <w:sz w:val="18"/>
                <w:szCs w:val="18"/>
              </w:rPr>
              <w:t>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tcBorders>
              <w:top w:val="single" w:color="auto" w:sz="12" w:space="0"/>
            </w:tcBorders>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w:t>
            </w:r>
          </w:p>
        </w:tc>
        <w:tc>
          <w:tcPr>
            <w:tcW w:w="1696" w:type="dxa"/>
            <w:tcBorders>
              <w:top w:val="single" w:color="auto" w:sz="12" w:space="0"/>
            </w:tcBorders>
            <w:shd w:val="clear" w:color="auto" w:fill="auto"/>
            <w:noWrap w:val="0"/>
            <w:vAlign w:val="center"/>
          </w:tcPr>
          <w:p>
            <w:pPr>
              <w:spacing w:line="360" w:lineRule="exact"/>
              <w:jc w:val="center"/>
              <w:rPr>
                <w:rFonts w:ascii="仿宋_GB2312" w:eastAsia="仿宋_GB2312"/>
              </w:rPr>
            </w:pPr>
            <w:r>
              <w:rPr>
                <w:rFonts w:hint="eastAsia" w:ascii="仿宋_GB2312" w:eastAsia="仿宋_GB2312"/>
              </w:rPr>
              <w:t>冀东万吨水泥生产线数字化工厂系统项目</w:t>
            </w:r>
          </w:p>
        </w:tc>
        <w:tc>
          <w:tcPr>
            <w:tcW w:w="1565" w:type="dxa"/>
            <w:tcBorders>
              <w:top w:val="single" w:color="auto" w:sz="12" w:space="0"/>
            </w:tcBorders>
            <w:shd w:val="clear" w:color="auto" w:fill="auto"/>
            <w:noWrap w:val="0"/>
            <w:vAlign w:val="center"/>
          </w:tcPr>
          <w:p>
            <w:pPr>
              <w:spacing w:line="360" w:lineRule="exact"/>
              <w:jc w:val="center"/>
              <w:rPr>
                <w:rFonts w:ascii="仿宋_GB2312" w:eastAsia="仿宋_GB2312"/>
              </w:rPr>
            </w:pPr>
            <w:r>
              <w:rPr>
                <w:rFonts w:hint="eastAsia" w:ascii="仿宋_GB2312" w:eastAsia="仿宋_GB2312"/>
              </w:rPr>
              <w:t>冀东集团铜川分公司</w:t>
            </w:r>
          </w:p>
        </w:tc>
        <w:tc>
          <w:tcPr>
            <w:tcW w:w="973" w:type="dxa"/>
            <w:tcBorders>
              <w:top w:val="single" w:color="auto" w:sz="12" w:space="0"/>
            </w:tcBorders>
            <w:shd w:val="clear" w:color="auto" w:fill="auto"/>
            <w:noWrap w:val="0"/>
            <w:vAlign w:val="center"/>
          </w:tcPr>
          <w:p>
            <w:pPr>
              <w:widowControl/>
              <w:spacing w:line="360" w:lineRule="exact"/>
              <w:jc w:val="center"/>
              <w:textAlignment w:val="center"/>
              <w:rPr>
                <w:rFonts w:ascii="仿宋_GB2312" w:hAnsi="Calibri" w:eastAsia="仿宋_GB2312"/>
                <w:szCs w:val="21"/>
              </w:rPr>
            </w:pPr>
            <w:r>
              <w:rPr>
                <w:rFonts w:hint="eastAsia" w:ascii="仿宋_GB2312" w:eastAsia="仿宋_GB2312"/>
              </w:rPr>
              <w:t>10000</w:t>
            </w:r>
          </w:p>
        </w:tc>
        <w:tc>
          <w:tcPr>
            <w:tcW w:w="3952" w:type="dxa"/>
            <w:tcBorders>
              <w:top w:val="single" w:color="auto" w:sz="12" w:space="0"/>
            </w:tcBorders>
            <w:shd w:val="clear" w:color="auto" w:fill="auto"/>
            <w:noWrap w:val="0"/>
            <w:vAlign w:val="center"/>
          </w:tcPr>
          <w:p>
            <w:pPr>
              <w:widowControl/>
              <w:spacing w:line="360" w:lineRule="exact"/>
              <w:jc w:val="left"/>
              <w:textAlignment w:val="center"/>
              <w:rPr>
                <w:rFonts w:ascii="仿宋_GB2312" w:hAnsi="Calibri" w:eastAsia="仿宋_GB2312"/>
                <w:szCs w:val="21"/>
              </w:rPr>
            </w:pPr>
            <w:r>
              <w:rPr>
                <w:rFonts w:hint="eastAsia" w:ascii="仿宋_GB2312" w:eastAsia="仿宋_GB2312"/>
              </w:rPr>
              <w:t>建立数字化工厂系统。通过大数据、人工智能、通讯、智能仪表等新技术，运用统一的业务标准和数据标准，形成从管理优化到生产优化的完整流程，在运营层面和生产层面打造智能工厂，辅助人员进行工作，有效降低成本。</w:t>
            </w:r>
          </w:p>
        </w:tc>
        <w:tc>
          <w:tcPr>
            <w:tcW w:w="2663" w:type="dxa"/>
            <w:tcBorders>
              <w:top w:val="single" w:color="auto" w:sz="12" w:space="0"/>
            </w:tcBorders>
            <w:shd w:val="clear" w:color="auto" w:fill="auto"/>
            <w:noWrap w:val="0"/>
            <w:vAlign w:val="center"/>
          </w:tcPr>
          <w:p>
            <w:pPr>
              <w:widowControl/>
              <w:spacing w:line="360" w:lineRule="exact"/>
              <w:jc w:val="left"/>
              <w:textAlignment w:val="center"/>
              <w:rPr>
                <w:rFonts w:ascii="仿宋_GB2312" w:hAnsi="Calibri" w:eastAsia="仿宋_GB2312"/>
                <w:color w:val="000000"/>
                <w:szCs w:val="21"/>
              </w:rPr>
            </w:pPr>
            <w:r>
              <w:rPr>
                <w:rFonts w:hint="eastAsia" w:ascii="仿宋_GB2312" w:eastAsia="仿宋_GB2312"/>
                <w:color w:val="000000"/>
              </w:rPr>
              <w:t>【已建成】年度完成投资约10000万元，项目于6月28日点火，目前已投产使用。</w:t>
            </w:r>
          </w:p>
        </w:tc>
        <w:tc>
          <w:tcPr>
            <w:tcW w:w="896" w:type="dxa"/>
            <w:tcBorders>
              <w:top w:val="single" w:color="auto" w:sz="12" w:space="0"/>
            </w:tcBorders>
            <w:shd w:val="clear" w:color="auto" w:fill="FFFFFF"/>
            <w:noWrap w:val="0"/>
            <w:vAlign w:val="center"/>
          </w:tcPr>
          <w:p>
            <w:pPr>
              <w:widowControl/>
              <w:spacing w:line="360" w:lineRule="exact"/>
              <w:jc w:val="center"/>
              <w:textAlignment w:val="center"/>
              <w:rPr>
                <w:rFonts w:ascii="仿宋_GB2312" w:eastAsia="仿宋_GB2312"/>
              </w:rPr>
            </w:pPr>
            <w:r>
              <w:rPr>
                <w:rFonts w:hint="eastAsia" w:ascii="仿宋_GB2312" w:eastAsia="仿宋_GB2312"/>
              </w:rPr>
              <w:t>耀州区</w:t>
            </w:r>
          </w:p>
          <w:p>
            <w:pPr>
              <w:widowControl/>
              <w:spacing w:line="360" w:lineRule="exact"/>
              <w:jc w:val="center"/>
              <w:textAlignment w:val="center"/>
              <w:rPr>
                <w:rFonts w:ascii="仿宋_GB2312" w:hAnsi="Calibri" w:eastAsia="仿宋_GB2312"/>
                <w:szCs w:val="21"/>
              </w:rPr>
            </w:pPr>
            <w:r>
              <w:rPr>
                <w:rFonts w:hint="eastAsia" w:ascii="仿宋_GB2312" w:eastAsia="仿宋_GB2312"/>
              </w:rPr>
              <w:t>政府</w:t>
            </w:r>
          </w:p>
        </w:tc>
        <w:tc>
          <w:tcPr>
            <w:tcW w:w="869" w:type="dxa"/>
            <w:tcBorders>
              <w:top w:val="single" w:color="auto" w:sz="12" w:space="0"/>
            </w:tcBorders>
            <w:shd w:val="clear" w:color="auto" w:fill="FFFFFF"/>
            <w:noWrap w:val="0"/>
            <w:vAlign w:val="center"/>
          </w:tcPr>
          <w:p>
            <w:pPr>
              <w:widowControl/>
              <w:spacing w:line="360" w:lineRule="exact"/>
              <w:jc w:val="center"/>
              <w:textAlignment w:val="center"/>
              <w:rPr>
                <w:rFonts w:ascii="仿宋_GB2312" w:hAnsi="Calibri" w:eastAsia="仿宋_GB2312"/>
                <w:szCs w:val="21"/>
              </w:rPr>
            </w:pPr>
            <w:r>
              <w:rPr>
                <w:rFonts w:hint="eastAsia" w:ascii="仿宋_GB2312" w:eastAsia="仿宋_GB2312"/>
              </w:rPr>
              <w:t>续建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2</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尧柏万吨水泥生产线数字化工厂系统项目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陕西尧柏特种水泥集团有限公司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10000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建设生产线智能控制系统平台，通过数据互联互通，实现工厂生产调度、安全环保、营销统计等环节管理智能化。</w:t>
            </w:r>
          </w:p>
        </w:tc>
        <w:tc>
          <w:tcPr>
            <w:tcW w:w="2663" w:type="dxa"/>
            <w:shd w:val="clear" w:color="auto" w:fill="auto"/>
            <w:noWrap w:val="0"/>
            <w:vAlign w:val="center"/>
          </w:tcPr>
          <w:p>
            <w:pPr>
              <w:spacing w:line="360" w:lineRule="exact"/>
              <w:jc w:val="left"/>
              <w:rPr>
                <w:rFonts w:ascii="仿宋_GB2312" w:hAnsi="Calibri" w:eastAsia="仿宋_GB2312"/>
                <w:color w:val="000000"/>
                <w:szCs w:val="21"/>
              </w:rPr>
            </w:pPr>
            <w:r>
              <w:rPr>
                <w:rFonts w:hint="eastAsia" w:ascii="仿宋_GB2312" w:eastAsia="仿宋_GB2312"/>
                <w:color w:val="000000"/>
              </w:rPr>
              <w:t>【已建成】年度完成投资约10000万元，项目于6月28日点火，目前已投产使用。</w:t>
            </w:r>
          </w:p>
        </w:tc>
        <w:tc>
          <w:tcPr>
            <w:tcW w:w="896" w:type="dxa"/>
            <w:shd w:val="clear" w:color="auto" w:fill="FFFFFF"/>
            <w:noWrap w:val="0"/>
            <w:vAlign w:val="center"/>
          </w:tcPr>
          <w:p>
            <w:pPr>
              <w:widowControl/>
              <w:spacing w:line="360" w:lineRule="exact"/>
              <w:jc w:val="center"/>
              <w:textAlignment w:val="center"/>
              <w:rPr>
                <w:rFonts w:ascii="仿宋_GB2312" w:hAnsi="宋体" w:eastAsia="仿宋_GB2312" w:cs="宋体"/>
              </w:rPr>
            </w:pPr>
            <w:r>
              <w:rPr>
                <w:rFonts w:hint="eastAsia" w:ascii="仿宋_GB2312" w:hAnsi="宋体" w:eastAsia="仿宋_GB2312" w:cs="宋体"/>
              </w:rPr>
              <w:t>耀州区</w:t>
            </w:r>
          </w:p>
          <w:p>
            <w:pPr>
              <w:widowControl/>
              <w:spacing w:line="360" w:lineRule="exact"/>
              <w:jc w:val="center"/>
              <w:textAlignment w:val="center"/>
              <w:rPr>
                <w:rFonts w:ascii="仿宋_GB2312" w:hAnsi="Calibri" w:eastAsia="仿宋_GB2312"/>
                <w:szCs w:val="21"/>
              </w:rPr>
            </w:pPr>
            <w:r>
              <w:rPr>
                <w:rFonts w:hint="eastAsia" w:ascii="仿宋_GB2312" w:hAnsi="宋体" w:eastAsia="仿宋_GB2312" w:cs="宋体"/>
              </w:rPr>
              <w:t>政府</w:t>
            </w:r>
          </w:p>
        </w:tc>
        <w:tc>
          <w:tcPr>
            <w:tcW w:w="869" w:type="dxa"/>
            <w:shd w:val="clear" w:color="auto" w:fill="FFFFFF"/>
            <w:noWrap w:val="0"/>
            <w:vAlign w:val="center"/>
          </w:tcPr>
          <w:p>
            <w:pPr>
              <w:widowControl/>
              <w:spacing w:line="360" w:lineRule="exact"/>
              <w:jc w:val="center"/>
              <w:textAlignment w:val="center"/>
              <w:rPr>
                <w:rFonts w:ascii="仿宋_GB2312" w:hAnsi="宋体" w:eastAsia="仿宋_GB2312" w:cs="宋体"/>
                <w:szCs w:val="21"/>
              </w:rPr>
            </w:pPr>
            <w:r>
              <w:rPr>
                <w:rFonts w:hint="eastAsia" w:ascii="仿宋_GB2312" w:hAnsi="宋体" w:eastAsia="仿宋_GB2312" w:cs="宋体"/>
              </w:rPr>
              <w:t>续建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3</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铜川光伏发电技术领跑基地监测平台建设项目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铜川市能源开发有限公司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4700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新建272.60</w:t>
            </w:r>
            <w:r>
              <w:rPr>
                <w:rFonts w:hint="eastAsia" w:ascii="宋体" w:hAnsi="宋体"/>
              </w:rPr>
              <w:t>㎡</w:t>
            </w:r>
            <w:r>
              <w:rPr>
                <w:rFonts w:hint="eastAsia" w:ascii="仿宋_GB2312" w:eastAsia="仿宋_GB2312"/>
              </w:rPr>
              <w:t>的智能地下水泵房，改造业务综合楼3282.78</w:t>
            </w:r>
            <w:r>
              <w:rPr>
                <w:rFonts w:hint="eastAsia" w:ascii="宋体" w:hAnsi="宋体"/>
              </w:rPr>
              <w:t>㎡</w:t>
            </w:r>
            <w:r>
              <w:rPr>
                <w:rFonts w:hint="eastAsia" w:ascii="仿宋_GB2312" w:eastAsia="仿宋_GB2312"/>
              </w:rPr>
              <w:t>主要用于展厅、大数据中心及相关配套设施。</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【已建成】年度完成投资约3500万元，项目目前已竣工，即将投入使用。</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宜君县</w:t>
            </w:r>
          </w:p>
          <w:p>
            <w:pPr>
              <w:spacing w:line="360" w:lineRule="exact"/>
              <w:jc w:val="center"/>
              <w:rPr>
                <w:rFonts w:ascii="仿宋_GB2312" w:hAnsi="宋体" w:eastAsia="仿宋_GB2312" w:cs="宋体"/>
                <w:szCs w:val="21"/>
              </w:rPr>
            </w:pPr>
            <w:r>
              <w:rPr>
                <w:rFonts w:hint="eastAsia" w:ascii="仿宋_GB2312" w:eastAsia="仿宋_GB2312"/>
              </w:rPr>
              <w:t>政府</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续建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4</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铜川新区智能化全自动立体停车库建设项目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新区开发建设有限公司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16000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新建城市停车库，其中包含智能立体停车位1800个。</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年度完成投资约14000万元，主体封顶完成 95%，水电主体安装完成 90%。</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市新区</w:t>
            </w:r>
          </w:p>
          <w:p>
            <w:pPr>
              <w:spacing w:line="360" w:lineRule="exact"/>
              <w:jc w:val="center"/>
              <w:rPr>
                <w:rFonts w:ascii="仿宋_GB2312" w:hAnsi="宋体" w:eastAsia="仿宋_GB2312" w:cs="宋体"/>
                <w:szCs w:val="21"/>
              </w:rPr>
            </w:pPr>
            <w:r>
              <w:rPr>
                <w:rFonts w:hint="eastAsia" w:ascii="仿宋_GB2312" w:eastAsia="仿宋_GB2312"/>
              </w:rPr>
              <w:t>管委会</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续建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5</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铜川市5G光网双千兆项目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铜川移动</w:t>
            </w:r>
          </w:p>
          <w:p>
            <w:pPr>
              <w:spacing w:line="360" w:lineRule="exact"/>
              <w:jc w:val="center"/>
              <w:rPr>
                <w:rFonts w:ascii="仿宋_GB2312" w:eastAsia="仿宋_GB2312"/>
              </w:rPr>
            </w:pPr>
            <w:r>
              <w:rPr>
                <w:rFonts w:hint="eastAsia" w:ascii="仿宋_GB2312" w:eastAsia="仿宋_GB2312"/>
              </w:rPr>
              <w:t>铜川联通</w:t>
            </w:r>
          </w:p>
          <w:p>
            <w:pPr>
              <w:spacing w:line="360" w:lineRule="exact"/>
              <w:jc w:val="center"/>
              <w:rPr>
                <w:rFonts w:ascii="仿宋_GB2312" w:eastAsia="仿宋_GB2312"/>
              </w:rPr>
            </w:pPr>
            <w:r>
              <w:rPr>
                <w:rFonts w:hint="eastAsia" w:ascii="仿宋_GB2312" w:eastAsia="仿宋_GB2312"/>
              </w:rPr>
              <w:t>铜川电信</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35000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主要进行5G通信基础设施建设及智慧城市建设等。</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年度完成投资3500万元，全市累计建成5G基站7</w:t>
            </w:r>
            <w:r>
              <w:rPr>
                <w:rFonts w:ascii="仿宋_GB2312" w:eastAsia="仿宋_GB2312"/>
                <w:color w:val="000000"/>
              </w:rPr>
              <w:t>96</w:t>
            </w:r>
            <w:r>
              <w:rPr>
                <w:rFonts w:hint="eastAsia" w:ascii="仿宋_GB2312" w:eastAsia="仿宋_GB2312"/>
                <w:color w:val="000000"/>
              </w:rPr>
              <w:t>个，正围绕市县两级工业园区、景区及物流仓储集聚地开展5G网络覆盖升级。</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市委网</w:t>
            </w:r>
          </w:p>
          <w:p>
            <w:pPr>
              <w:spacing w:line="360" w:lineRule="exact"/>
              <w:jc w:val="center"/>
              <w:rPr>
                <w:rFonts w:ascii="仿宋_GB2312" w:hAnsi="宋体" w:eastAsia="仿宋_GB2312" w:cs="宋体"/>
                <w:szCs w:val="21"/>
              </w:rPr>
            </w:pPr>
            <w:r>
              <w:rPr>
                <w:rFonts w:hint="eastAsia" w:ascii="仿宋_GB2312" w:eastAsia="仿宋_GB2312"/>
              </w:rPr>
              <w:t>信办</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续建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6</w:t>
            </w:r>
          </w:p>
        </w:tc>
        <w:tc>
          <w:tcPr>
            <w:tcW w:w="1696" w:type="dxa"/>
            <w:shd w:val="clear" w:color="auto" w:fill="auto"/>
            <w:noWrap w:val="0"/>
            <w:vAlign w:val="center"/>
          </w:tcPr>
          <w:p>
            <w:pPr>
              <w:spacing w:line="360" w:lineRule="exact"/>
              <w:jc w:val="center"/>
              <w:rPr>
                <w:rFonts w:ascii="仿宋_GB2312" w:eastAsia="仿宋_GB2312"/>
              </w:rPr>
            </w:pPr>
            <w:r>
              <w:rPr>
                <w:rFonts w:hint="eastAsia" w:ascii="微软雅黑" w:hAnsi="微软雅黑" w:eastAsia="微软雅黑" w:cs="微软雅黑"/>
              </w:rPr>
              <w:t>雋</w:t>
            </w:r>
            <w:r>
              <w:rPr>
                <w:rFonts w:hint="eastAsia" w:ascii="仿宋_GB2312" w:eastAsia="仿宋_GB2312"/>
              </w:rPr>
              <w:t>美经纬电子科技项目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微软雅黑" w:hAnsi="微软雅黑" w:eastAsia="微软雅黑" w:cs="微软雅黑"/>
              </w:rPr>
              <w:t>雋</w:t>
            </w:r>
            <w:r>
              <w:rPr>
                <w:rFonts w:hint="eastAsia" w:ascii="仿宋_GB2312" w:eastAsia="仿宋_GB2312"/>
              </w:rPr>
              <w:t>美经纬电路有限公司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167000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建设集单面、双面及多层柔性线路板、软硬结合电路板及电子元器件贴装加工及相关产品生产为一体的柔性线路板制造及贴片组装加工基地。</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年度完成投资8350万元，目前进行员工培训及设备调试，污水处理站接近完工。二期正在审核建筑设计图纸，已完成地面清表。</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新材料</w:t>
            </w:r>
          </w:p>
          <w:p>
            <w:pPr>
              <w:spacing w:line="360" w:lineRule="exact"/>
              <w:jc w:val="center"/>
              <w:rPr>
                <w:rFonts w:ascii="仿宋_GB2312" w:eastAsia="仿宋_GB2312"/>
              </w:rPr>
            </w:pPr>
            <w:r>
              <w:rPr>
                <w:rFonts w:hint="eastAsia" w:ascii="仿宋_GB2312" w:eastAsia="仿宋_GB2312"/>
              </w:rPr>
              <w:t>产业园</w:t>
            </w:r>
          </w:p>
          <w:p>
            <w:pPr>
              <w:spacing w:line="360" w:lineRule="exact"/>
              <w:jc w:val="center"/>
              <w:rPr>
                <w:rFonts w:ascii="仿宋_GB2312" w:hAnsi="Calibri" w:eastAsia="仿宋_GB2312"/>
                <w:szCs w:val="21"/>
              </w:rPr>
            </w:pPr>
            <w:r>
              <w:rPr>
                <w:rFonts w:hint="eastAsia" w:ascii="仿宋_GB2312" w:eastAsia="仿宋_GB2312"/>
              </w:rPr>
              <w:t>管委会</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续建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7</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日月芯集成电路封测项目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陕西日月芯半导体有限公司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50000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项目拟占厂房1.05万平方米，新购置各类</w:t>
            </w:r>
            <w:r>
              <w:rPr>
                <w:rFonts w:hint="eastAsia" w:ascii="仿宋_GB2312" w:eastAsia="仿宋_GB2312"/>
                <w:spacing w:val="-6"/>
              </w:rPr>
              <w:t>设备560台（套），建设集成电路测试生产线，可年生产、测试各类集成电路1亿片。</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【已建成】年度完成投资2070万元，一期已建成投产。</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新材料</w:t>
            </w:r>
          </w:p>
          <w:p>
            <w:pPr>
              <w:spacing w:line="360" w:lineRule="exact"/>
              <w:jc w:val="center"/>
              <w:rPr>
                <w:rFonts w:ascii="仿宋_GB2312" w:eastAsia="仿宋_GB2312"/>
              </w:rPr>
            </w:pPr>
            <w:r>
              <w:rPr>
                <w:rFonts w:hint="eastAsia" w:ascii="仿宋_GB2312" w:eastAsia="仿宋_GB2312"/>
              </w:rPr>
              <w:t>产业园</w:t>
            </w:r>
          </w:p>
          <w:p>
            <w:pPr>
              <w:spacing w:line="360" w:lineRule="exact"/>
              <w:jc w:val="center"/>
              <w:rPr>
                <w:rFonts w:ascii="仿宋_GB2312" w:hAnsi="Calibri" w:eastAsia="仿宋_GB2312"/>
                <w:szCs w:val="21"/>
              </w:rPr>
            </w:pPr>
            <w:r>
              <w:rPr>
                <w:rFonts w:hint="eastAsia" w:ascii="仿宋_GB2312" w:eastAsia="仿宋_GB2312"/>
              </w:rPr>
              <w:t>管委会</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续建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宋体" w:hAnsi="宋体"/>
                <w:szCs w:val="21"/>
              </w:rPr>
            </w:pPr>
            <w:r>
              <w:rPr>
                <w:rFonts w:hint="eastAsia" w:ascii="仿宋_GB2312" w:eastAsia="仿宋_GB2312"/>
              </w:rPr>
              <w:t>8</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铜川渭北智慧物流产业园建设</w:t>
            </w:r>
          </w:p>
          <w:p>
            <w:pPr>
              <w:spacing w:line="360" w:lineRule="exact"/>
              <w:jc w:val="center"/>
              <w:rPr>
                <w:rFonts w:ascii="仿宋_GB2312" w:eastAsia="仿宋_GB2312"/>
              </w:rPr>
            </w:pPr>
            <w:r>
              <w:rPr>
                <w:rFonts w:hint="eastAsia" w:ascii="仿宋_GB2312" w:eastAsia="仿宋_GB2312"/>
              </w:rPr>
              <w:t>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王益区政府</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25468</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建设集电商物流仓储、快递分拨、工业物流大型仓储、农产品冷链仓储配送、物流运输车辆设备保障维修、辅助服务等功能为一体的现代化智慧物流园。</w:t>
            </w:r>
          </w:p>
        </w:tc>
        <w:tc>
          <w:tcPr>
            <w:tcW w:w="2663" w:type="dxa"/>
            <w:shd w:val="clear" w:color="auto" w:fill="auto"/>
            <w:noWrap w:val="0"/>
            <w:vAlign w:val="center"/>
          </w:tcPr>
          <w:p>
            <w:pPr>
              <w:spacing w:line="360" w:lineRule="exact"/>
              <w:jc w:val="left"/>
              <w:rPr>
                <w:rFonts w:ascii="仿宋_GB2312" w:hAnsi="Calibri" w:eastAsia="仿宋_GB2312"/>
                <w:color w:val="000000"/>
                <w:szCs w:val="21"/>
              </w:rPr>
            </w:pPr>
            <w:r>
              <w:rPr>
                <w:rFonts w:hint="eastAsia" w:ascii="仿宋_GB2312" w:eastAsia="仿宋_GB2312"/>
                <w:color w:val="000000"/>
              </w:rPr>
              <w:t>年度完成投资9050万元，完成土方开挖及回填，项目临建完成；正在施工宿舍楼、工业品仓库桩基。</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王益区</w:t>
            </w:r>
          </w:p>
          <w:p>
            <w:pPr>
              <w:spacing w:line="360" w:lineRule="exact"/>
              <w:jc w:val="center"/>
              <w:rPr>
                <w:rFonts w:ascii="仿宋_GB2312" w:hAnsi="Calibri" w:eastAsia="仿宋_GB2312"/>
                <w:szCs w:val="21"/>
              </w:rPr>
            </w:pPr>
            <w:r>
              <w:rPr>
                <w:rFonts w:hint="eastAsia" w:ascii="仿宋_GB2312" w:eastAsia="仿宋_GB2312"/>
              </w:rPr>
              <w:t>政府</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9</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印台区数字经济双创园建设项目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铜川盛合智创经济产业发展有限公司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850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该项目总面积3700平方米，展厅设计面积440平方米，配置移动式操控台、LED屏幕、大型沉浸式观影平台等设施；办公区域3260平方米，设置办公室、会议室、直播室、水电、暖通等相关基础设施。</w:t>
            </w:r>
          </w:p>
        </w:tc>
        <w:tc>
          <w:tcPr>
            <w:tcW w:w="2663" w:type="dxa"/>
            <w:shd w:val="clear" w:color="auto" w:fill="auto"/>
            <w:noWrap w:val="0"/>
            <w:vAlign w:val="center"/>
          </w:tcPr>
          <w:p>
            <w:pPr>
              <w:spacing w:line="360" w:lineRule="exact"/>
              <w:jc w:val="left"/>
              <w:rPr>
                <w:rFonts w:ascii="仿宋_GB2312" w:hAnsi="Calibri" w:eastAsia="仿宋_GB2312"/>
                <w:color w:val="000000"/>
                <w:szCs w:val="21"/>
              </w:rPr>
            </w:pPr>
            <w:r>
              <w:rPr>
                <w:rFonts w:hint="eastAsia" w:ascii="仿宋_GB2312" w:eastAsia="仿宋_GB2312"/>
                <w:color w:val="000000"/>
              </w:rPr>
              <w:t>目前</w:t>
            </w:r>
            <w:r>
              <w:rPr>
                <w:rFonts w:ascii="仿宋_GB2312" w:eastAsia="仿宋_GB2312"/>
                <w:color w:val="000000"/>
              </w:rPr>
              <w:t>项目完成招标，正在进行</w:t>
            </w:r>
            <w:r>
              <w:rPr>
                <w:rFonts w:hint="eastAsia" w:ascii="仿宋_GB2312" w:eastAsia="仿宋_GB2312"/>
                <w:color w:val="000000"/>
              </w:rPr>
              <w:t>装修</w:t>
            </w:r>
            <w:r>
              <w:rPr>
                <w:rFonts w:ascii="仿宋_GB2312" w:eastAsia="仿宋_GB2312"/>
                <w:color w:val="000000"/>
              </w:rPr>
              <w:t>。</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印台区</w:t>
            </w:r>
          </w:p>
          <w:p>
            <w:pPr>
              <w:spacing w:line="360" w:lineRule="exact"/>
              <w:jc w:val="center"/>
              <w:rPr>
                <w:rFonts w:ascii="仿宋_GB2312" w:hAnsi="Calibri" w:eastAsia="仿宋_GB2312"/>
                <w:szCs w:val="21"/>
              </w:rPr>
            </w:pPr>
            <w:r>
              <w:rPr>
                <w:rFonts w:hint="eastAsia" w:ascii="仿宋_GB2312" w:eastAsia="仿宋_GB2312"/>
              </w:rPr>
              <w:t>政府</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10</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大熊星座智能机器人项目</w:t>
            </w:r>
          </w:p>
        </w:tc>
        <w:tc>
          <w:tcPr>
            <w:tcW w:w="1565" w:type="dxa"/>
            <w:shd w:val="clear" w:color="auto" w:fill="auto"/>
            <w:noWrap w:val="0"/>
            <w:vAlign w:val="center"/>
          </w:tcPr>
          <w:p>
            <w:pPr>
              <w:spacing w:line="340" w:lineRule="exact"/>
              <w:jc w:val="center"/>
              <w:rPr>
                <w:rFonts w:ascii="仿宋_GB2312" w:eastAsia="仿宋_GB2312"/>
              </w:rPr>
            </w:pPr>
            <w:r>
              <w:rPr>
                <w:rFonts w:hint="eastAsia" w:ascii="仿宋_GB2312" w:eastAsia="仿宋_GB2312"/>
              </w:rPr>
              <w:t>大熊星座智能科技有限公司</w:t>
            </w:r>
          </w:p>
        </w:tc>
        <w:tc>
          <w:tcPr>
            <w:tcW w:w="973" w:type="dxa"/>
            <w:shd w:val="clear" w:color="auto" w:fill="auto"/>
            <w:noWrap w:val="0"/>
            <w:vAlign w:val="center"/>
          </w:tcPr>
          <w:p>
            <w:pPr>
              <w:spacing w:line="340" w:lineRule="exact"/>
              <w:jc w:val="center"/>
              <w:rPr>
                <w:rFonts w:ascii="仿宋_GB2312" w:hAnsi="Calibri" w:eastAsia="仿宋_GB2312"/>
                <w:szCs w:val="21"/>
              </w:rPr>
            </w:pPr>
            <w:r>
              <w:rPr>
                <w:rFonts w:hint="eastAsia" w:ascii="仿宋_GB2312" w:eastAsia="仿宋_GB2312"/>
              </w:rPr>
              <w:t>12000</w:t>
            </w:r>
          </w:p>
        </w:tc>
        <w:tc>
          <w:tcPr>
            <w:tcW w:w="3952" w:type="dxa"/>
            <w:shd w:val="clear" w:color="auto" w:fill="auto"/>
            <w:noWrap w:val="0"/>
            <w:vAlign w:val="center"/>
          </w:tcPr>
          <w:p>
            <w:pPr>
              <w:spacing w:line="340" w:lineRule="exact"/>
              <w:jc w:val="left"/>
              <w:rPr>
                <w:rFonts w:ascii="仿宋_GB2312" w:hAnsi="Calibri" w:eastAsia="仿宋_GB2312"/>
                <w:szCs w:val="21"/>
              </w:rPr>
            </w:pPr>
            <w:r>
              <w:rPr>
                <w:rFonts w:hint="eastAsia" w:ascii="仿宋_GB2312" w:eastAsia="仿宋_GB2312"/>
              </w:rPr>
              <w:t>主要建设年产100套智能焊接机器人生产线，</w:t>
            </w:r>
            <w:r>
              <w:rPr>
                <w:rFonts w:hint="eastAsia" w:ascii="仿宋_GB2312" w:eastAsia="仿宋_GB2312"/>
                <w:spacing w:val="-6"/>
              </w:rPr>
              <w:t>年产100套智能微电网相关技术产品生产线</w:t>
            </w:r>
            <w:r>
              <w:rPr>
                <w:rFonts w:hint="eastAsia" w:ascii="仿宋_GB2312" w:eastAsia="仿宋_GB2312"/>
              </w:rPr>
              <w:t>，测试基地、仓储中心及其办公用房。</w:t>
            </w:r>
          </w:p>
        </w:tc>
        <w:tc>
          <w:tcPr>
            <w:tcW w:w="2663" w:type="dxa"/>
            <w:shd w:val="clear" w:color="auto" w:fill="auto"/>
            <w:noWrap w:val="0"/>
            <w:vAlign w:val="center"/>
          </w:tcPr>
          <w:p>
            <w:pPr>
              <w:spacing w:line="340" w:lineRule="exact"/>
              <w:rPr>
                <w:rFonts w:ascii="仿宋_GB2312" w:hAnsi="Calibri" w:eastAsia="仿宋_GB2312"/>
                <w:color w:val="000000"/>
                <w:szCs w:val="21"/>
              </w:rPr>
            </w:pPr>
            <w:r>
              <w:rPr>
                <w:rFonts w:hint="eastAsia" w:ascii="仿宋_GB2312" w:eastAsia="仿宋_GB2312"/>
                <w:color w:val="000000"/>
              </w:rPr>
              <w:t>正在进行厂房装修，部分机器人设备已进厂，完成设备第一轮调试，正在进行办公家具采购和装修收尾工作。</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市新区</w:t>
            </w:r>
          </w:p>
          <w:p>
            <w:pPr>
              <w:spacing w:line="360" w:lineRule="exact"/>
              <w:jc w:val="center"/>
              <w:rPr>
                <w:rFonts w:ascii="仿宋_GB2312" w:hAnsi="Calibri" w:eastAsia="仿宋_GB2312"/>
                <w:szCs w:val="21"/>
              </w:rPr>
            </w:pPr>
            <w:r>
              <w:rPr>
                <w:rFonts w:hint="eastAsia" w:ascii="仿宋_GB2312" w:eastAsia="仿宋_GB2312"/>
              </w:rPr>
              <w:t>管委会</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11</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天健九方芯片封装测试及应用系统批量生产产业化项目</w:t>
            </w:r>
          </w:p>
        </w:tc>
        <w:tc>
          <w:tcPr>
            <w:tcW w:w="1565" w:type="dxa"/>
            <w:shd w:val="clear" w:color="auto" w:fill="auto"/>
            <w:noWrap w:val="0"/>
            <w:vAlign w:val="center"/>
          </w:tcPr>
          <w:p>
            <w:pPr>
              <w:spacing w:line="340" w:lineRule="exact"/>
              <w:jc w:val="center"/>
              <w:rPr>
                <w:rFonts w:ascii="仿宋_GB2312" w:eastAsia="仿宋_GB2312"/>
              </w:rPr>
            </w:pPr>
            <w:r>
              <w:rPr>
                <w:rFonts w:hint="eastAsia" w:ascii="仿宋_GB2312" w:eastAsia="仿宋_GB2312"/>
              </w:rPr>
              <w:t>铜川九方迅达微波系统有限公司</w:t>
            </w:r>
          </w:p>
        </w:tc>
        <w:tc>
          <w:tcPr>
            <w:tcW w:w="973" w:type="dxa"/>
            <w:shd w:val="clear" w:color="auto" w:fill="auto"/>
            <w:noWrap w:val="0"/>
            <w:vAlign w:val="center"/>
          </w:tcPr>
          <w:p>
            <w:pPr>
              <w:spacing w:line="340" w:lineRule="exact"/>
              <w:jc w:val="center"/>
              <w:rPr>
                <w:rFonts w:ascii="仿宋_GB2312" w:hAnsi="Calibri" w:eastAsia="仿宋_GB2312"/>
                <w:szCs w:val="21"/>
              </w:rPr>
            </w:pPr>
            <w:r>
              <w:rPr>
                <w:rFonts w:hint="eastAsia" w:ascii="仿宋_GB2312" w:eastAsia="仿宋_GB2312"/>
              </w:rPr>
              <w:t>140000</w:t>
            </w:r>
          </w:p>
        </w:tc>
        <w:tc>
          <w:tcPr>
            <w:tcW w:w="3952" w:type="dxa"/>
            <w:shd w:val="clear" w:color="auto" w:fill="auto"/>
            <w:noWrap w:val="0"/>
            <w:vAlign w:val="center"/>
          </w:tcPr>
          <w:p>
            <w:pPr>
              <w:spacing w:line="340" w:lineRule="exact"/>
              <w:jc w:val="left"/>
              <w:rPr>
                <w:rFonts w:ascii="仿宋_GB2312" w:hAnsi="Calibri" w:eastAsia="仿宋_GB2312"/>
                <w:szCs w:val="21"/>
              </w:rPr>
            </w:pPr>
            <w:r>
              <w:rPr>
                <w:rFonts w:hint="eastAsia" w:ascii="仿宋_GB2312" w:eastAsia="仿宋_GB2312"/>
              </w:rPr>
              <w:t>新建年生产加工微波集成电路3亿支、高端5G集成芯片2亿支测试生产线1条；新建年加工14万片晶圆减薄散热背面金属化生产线一条；新建年产8-10万套微波毫米波模组（TR组件）毫米波模组天线应用系统生产线一条。</w:t>
            </w:r>
          </w:p>
        </w:tc>
        <w:tc>
          <w:tcPr>
            <w:tcW w:w="2663" w:type="dxa"/>
            <w:shd w:val="clear" w:color="auto" w:fill="auto"/>
            <w:noWrap w:val="0"/>
            <w:vAlign w:val="center"/>
          </w:tcPr>
          <w:p>
            <w:pPr>
              <w:spacing w:line="340" w:lineRule="exact"/>
              <w:rPr>
                <w:rFonts w:ascii="仿宋_GB2312" w:hAnsi="Calibri" w:eastAsia="仿宋_GB2312"/>
                <w:color w:val="000000"/>
                <w:szCs w:val="21"/>
              </w:rPr>
            </w:pPr>
            <w:r>
              <w:rPr>
                <w:rFonts w:hint="eastAsia" w:ascii="仿宋_GB2312" w:eastAsia="仿宋_GB2312"/>
                <w:color w:val="000000"/>
              </w:rPr>
              <w:t>年度完成投资45860万元，厂房装修工程基本完成，目前正在进行设备安装及调试。</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新材料</w:t>
            </w:r>
          </w:p>
          <w:p>
            <w:pPr>
              <w:spacing w:line="360" w:lineRule="exact"/>
              <w:jc w:val="center"/>
              <w:rPr>
                <w:rFonts w:ascii="仿宋_GB2312" w:eastAsia="仿宋_GB2312"/>
              </w:rPr>
            </w:pPr>
            <w:r>
              <w:rPr>
                <w:rFonts w:hint="eastAsia" w:ascii="仿宋_GB2312" w:eastAsia="仿宋_GB2312"/>
              </w:rPr>
              <w:t>产业园</w:t>
            </w:r>
          </w:p>
          <w:p>
            <w:pPr>
              <w:spacing w:line="360" w:lineRule="exact"/>
              <w:jc w:val="center"/>
              <w:rPr>
                <w:rFonts w:ascii="仿宋_GB2312" w:hAnsi="Calibri" w:eastAsia="仿宋_GB2312"/>
                <w:szCs w:val="21"/>
              </w:rPr>
            </w:pPr>
            <w:r>
              <w:rPr>
                <w:rFonts w:hint="eastAsia" w:ascii="仿宋_GB2312" w:eastAsia="仿宋_GB2312"/>
              </w:rPr>
              <w:t>管委会</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12</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铜川数字经济产业园项目</w:t>
            </w:r>
          </w:p>
        </w:tc>
        <w:tc>
          <w:tcPr>
            <w:tcW w:w="1565" w:type="dxa"/>
            <w:shd w:val="clear" w:color="auto" w:fill="auto"/>
            <w:noWrap w:val="0"/>
            <w:vAlign w:val="center"/>
          </w:tcPr>
          <w:p>
            <w:pPr>
              <w:spacing w:line="340" w:lineRule="exact"/>
              <w:jc w:val="center"/>
              <w:rPr>
                <w:rFonts w:ascii="仿宋_GB2312" w:eastAsia="仿宋_GB2312"/>
              </w:rPr>
            </w:pPr>
            <w:r>
              <w:rPr>
                <w:rFonts w:hint="eastAsia" w:ascii="仿宋_GB2312" w:eastAsia="仿宋_GB2312"/>
              </w:rPr>
              <w:t>铜川数字产业发展有限公司</w:t>
            </w:r>
          </w:p>
        </w:tc>
        <w:tc>
          <w:tcPr>
            <w:tcW w:w="973" w:type="dxa"/>
            <w:shd w:val="clear" w:color="auto" w:fill="auto"/>
            <w:noWrap w:val="0"/>
            <w:vAlign w:val="center"/>
          </w:tcPr>
          <w:p>
            <w:pPr>
              <w:spacing w:line="340" w:lineRule="exact"/>
              <w:jc w:val="center"/>
              <w:rPr>
                <w:rFonts w:ascii="仿宋_GB2312" w:hAnsi="Calibri" w:eastAsia="仿宋_GB2312"/>
                <w:szCs w:val="21"/>
              </w:rPr>
            </w:pPr>
            <w:r>
              <w:rPr>
                <w:rFonts w:hint="eastAsia" w:ascii="仿宋_GB2312" w:eastAsia="仿宋_GB2312"/>
              </w:rPr>
              <w:t>22900</w:t>
            </w:r>
          </w:p>
        </w:tc>
        <w:tc>
          <w:tcPr>
            <w:tcW w:w="3952" w:type="dxa"/>
            <w:shd w:val="clear" w:color="auto" w:fill="auto"/>
            <w:noWrap w:val="0"/>
            <w:vAlign w:val="center"/>
          </w:tcPr>
          <w:p>
            <w:pPr>
              <w:spacing w:line="340" w:lineRule="exact"/>
              <w:jc w:val="left"/>
              <w:rPr>
                <w:rFonts w:ascii="仿宋_GB2312" w:hAnsi="Calibri" w:eastAsia="仿宋_GB2312"/>
                <w:szCs w:val="21"/>
              </w:rPr>
            </w:pPr>
            <w:r>
              <w:rPr>
                <w:rFonts w:hint="eastAsia" w:ascii="仿宋_GB2312" w:eastAsia="仿宋_GB2312"/>
              </w:rPr>
              <w:t>项目占地50亩，为基础设施建设，包括标准化厂房建设、数据中心机房、服务综合</w:t>
            </w:r>
            <w:r>
              <w:rPr>
                <w:rFonts w:hint="eastAsia" w:ascii="仿宋_GB2312" w:eastAsia="仿宋_GB2312"/>
                <w:spacing w:val="-6"/>
              </w:rPr>
              <w:t>用房建设及给排水系统、暖通系统、电气系统等配套工程，道路绿化等辅助设施。</w:t>
            </w:r>
          </w:p>
        </w:tc>
        <w:tc>
          <w:tcPr>
            <w:tcW w:w="2663" w:type="dxa"/>
            <w:shd w:val="clear" w:color="auto" w:fill="auto"/>
            <w:noWrap w:val="0"/>
            <w:vAlign w:val="center"/>
          </w:tcPr>
          <w:p>
            <w:pPr>
              <w:spacing w:line="340" w:lineRule="exact"/>
              <w:rPr>
                <w:rFonts w:ascii="仿宋_GB2312" w:hAnsi="Calibri" w:eastAsia="仿宋_GB2312"/>
                <w:color w:val="000000"/>
                <w:szCs w:val="21"/>
              </w:rPr>
            </w:pPr>
            <w:r>
              <w:rPr>
                <w:rFonts w:hint="eastAsia" w:ascii="仿宋_GB2312" w:eastAsia="仿宋_GB2312"/>
                <w:color w:val="000000"/>
              </w:rPr>
              <w:t>年度完成投资4000万元，完成临电临水、道路基坑、围墙围挡、桩基工程等，一标段完成总进度40%，二标段完成总进度38%。</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市发展</w:t>
            </w:r>
          </w:p>
          <w:p>
            <w:pPr>
              <w:spacing w:line="360" w:lineRule="exact"/>
              <w:jc w:val="center"/>
              <w:rPr>
                <w:rFonts w:ascii="仿宋_GB2312" w:hAnsi="Calibri" w:eastAsia="仿宋_GB2312"/>
                <w:szCs w:val="21"/>
              </w:rPr>
            </w:pPr>
            <w:r>
              <w:rPr>
                <w:rFonts w:hint="eastAsia" w:ascii="仿宋_GB2312" w:eastAsia="仿宋_GB2312"/>
              </w:rPr>
              <w:t>改革委</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13</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陕汽兆丰汽车零部件智能工厂建设项目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陕西陕汽兆丰科技责任有限公司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99000</w:t>
            </w:r>
          </w:p>
        </w:tc>
        <w:tc>
          <w:tcPr>
            <w:tcW w:w="3952" w:type="dxa"/>
            <w:shd w:val="clear" w:color="auto" w:fill="auto"/>
            <w:noWrap w:val="0"/>
            <w:vAlign w:val="center"/>
          </w:tcPr>
          <w:p>
            <w:pPr>
              <w:spacing w:line="360" w:lineRule="exact"/>
              <w:jc w:val="left"/>
              <w:rPr>
                <w:rFonts w:ascii="仿宋_GB2312" w:hAnsi="Calibri" w:eastAsia="仿宋_GB2312"/>
                <w:spacing w:val="-4"/>
                <w:szCs w:val="21"/>
              </w:rPr>
            </w:pPr>
            <w:r>
              <w:rPr>
                <w:rFonts w:hint="eastAsia" w:ascii="仿宋_GB2312" w:eastAsia="仿宋_GB2312"/>
                <w:spacing w:val="-4"/>
              </w:rPr>
              <w:t>在原陕汽东铭厂区内投资建设自动化重型车零部件生产线、自动化汽车轴承生产线。</w:t>
            </w:r>
          </w:p>
        </w:tc>
        <w:tc>
          <w:tcPr>
            <w:tcW w:w="2663" w:type="dxa"/>
            <w:shd w:val="clear" w:color="auto" w:fill="auto"/>
            <w:noWrap w:val="0"/>
            <w:vAlign w:val="center"/>
          </w:tcPr>
          <w:p>
            <w:pPr>
              <w:spacing w:line="360" w:lineRule="exact"/>
              <w:rPr>
                <w:rFonts w:ascii="仿宋_GB2312" w:hAnsi="宋体" w:cs="仿宋_GB2312"/>
                <w:color w:val="000000"/>
                <w:szCs w:val="21"/>
              </w:rPr>
            </w:pPr>
            <w:r>
              <w:rPr>
                <w:rFonts w:hint="eastAsia" w:ascii="仿宋_GB2312" w:eastAsia="仿宋_GB2312"/>
                <w:color w:val="000000"/>
              </w:rPr>
              <w:t>【已建成】年度完成投资10000万元，项目一期已建成投产。</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铜川市</w:t>
            </w:r>
          </w:p>
          <w:p>
            <w:pPr>
              <w:spacing w:line="360" w:lineRule="exact"/>
              <w:jc w:val="center"/>
              <w:rPr>
                <w:rFonts w:ascii="仿宋_GB2312" w:hAnsi="Calibri" w:eastAsia="仿宋_GB2312"/>
                <w:szCs w:val="21"/>
              </w:rPr>
            </w:pPr>
            <w:r>
              <w:rPr>
                <w:rFonts w:hint="eastAsia" w:ascii="仿宋_GB2312" w:eastAsia="仿宋_GB2312"/>
              </w:rPr>
              <w:t>高新区</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14</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企业信息数字化包装生产线建设项目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宝鸡雁祥包装印务有限公司铜川分公司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10000</w:t>
            </w:r>
          </w:p>
        </w:tc>
        <w:tc>
          <w:tcPr>
            <w:tcW w:w="3952" w:type="dxa"/>
            <w:shd w:val="clear" w:color="auto" w:fill="auto"/>
            <w:noWrap w:val="0"/>
            <w:vAlign w:val="center"/>
          </w:tcPr>
          <w:p>
            <w:pPr>
              <w:spacing w:line="360" w:lineRule="exact"/>
              <w:jc w:val="left"/>
              <w:rPr>
                <w:rFonts w:ascii="仿宋_GB2312" w:eastAsia="仿宋_GB2312"/>
              </w:rPr>
            </w:pPr>
            <w:r>
              <w:rPr>
                <w:rFonts w:hint="eastAsia" w:ascii="仿宋_GB2312" w:eastAsia="仿宋_GB2312"/>
              </w:rPr>
              <w:t>项目总占地45亩，建设标准化厂房两栋、仓库一栋及配套基础设施。建设六条生产线，购置数字激光制版机、数控印刷机、数控激光切割机等设备。</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项目选址王益区赵家塬，目前正在办理土地手续。</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王益区</w:t>
            </w:r>
          </w:p>
          <w:p>
            <w:pPr>
              <w:spacing w:line="360" w:lineRule="exact"/>
              <w:jc w:val="center"/>
              <w:rPr>
                <w:rFonts w:ascii="仿宋_GB2312" w:hAnsi="Calibri" w:eastAsia="仿宋_GB2312"/>
                <w:szCs w:val="21"/>
              </w:rPr>
            </w:pPr>
            <w:r>
              <w:rPr>
                <w:rFonts w:hint="eastAsia" w:ascii="仿宋_GB2312" w:eastAsia="仿宋_GB2312"/>
              </w:rPr>
              <w:t>政府</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15</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阿塔云照金数据中心项目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陕西阿塔云照金科技有限公司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340000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项目拟用地200亩，规划10万平方米建筑，20000个机柜。一期拟为转入华能已有200亩用地，建设25000平方米建筑，建成5000个机柜及配套设施。</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合作协议、项目主体组建完成。目前正在加快与省上对接项目能耗指标对接审批。</w:t>
            </w:r>
          </w:p>
        </w:tc>
        <w:tc>
          <w:tcPr>
            <w:tcW w:w="896" w:type="dxa"/>
            <w:shd w:val="clear" w:color="auto" w:fill="FFFFFF"/>
            <w:noWrap w:val="0"/>
            <w:vAlign w:val="center"/>
          </w:tcPr>
          <w:p>
            <w:pPr>
              <w:spacing w:line="360" w:lineRule="exact"/>
              <w:jc w:val="center"/>
              <w:rPr>
                <w:rFonts w:ascii="仿宋_GB2312" w:hAnsi="Calibri" w:eastAsia="仿宋_GB2312"/>
                <w:szCs w:val="21"/>
              </w:rPr>
            </w:pPr>
            <w:r>
              <w:rPr>
                <w:rFonts w:hint="eastAsia" w:ascii="仿宋_GB2312" w:eastAsia="仿宋_GB2312"/>
              </w:rPr>
              <w:t>市发展改革委</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前期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16</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第三代半导体氮化镓外延片开发与产业化项目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陕西宇腾电子科技有限公司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68000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占地45亩，新建20条外延片生产线产品主要应用在微波通信、光通讯、功率电子、光学感测的材料器,专为客户提供定制化产品。</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正在按照省发改委窗口指导意见准备项目审批及落地相应材料。</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新材料</w:t>
            </w:r>
          </w:p>
          <w:p>
            <w:pPr>
              <w:spacing w:line="360" w:lineRule="exact"/>
              <w:jc w:val="center"/>
              <w:rPr>
                <w:rFonts w:ascii="仿宋_GB2312" w:eastAsia="仿宋_GB2312"/>
              </w:rPr>
            </w:pPr>
            <w:r>
              <w:rPr>
                <w:rFonts w:hint="eastAsia" w:ascii="仿宋_GB2312" w:eastAsia="仿宋_GB2312"/>
              </w:rPr>
              <w:t>产业园</w:t>
            </w:r>
          </w:p>
          <w:p>
            <w:pPr>
              <w:spacing w:line="360" w:lineRule="exact"/>
              <w:jc w:val="center"/>
              <w:rPr>
                <w:rFonts w:ascii="仿宋_GB2312" w:hAnsi="Calibri" w:eastAsia="仿宋_GB2312"/>
                <w:szCs w:val="21"/>
              </w:rPr>
            </w:pPr>
            <w:r>
              <w:rPr>
                <w:rFonts w:hint="eastAsia" w:ascii="仿宋_GB2312" w:eastAsia="仿宋_GB2312"/>
              </w:rPr>
              <w:t>管委会</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前期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17</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金刚石超宽禁带半导体单晶材料及5G复合器件</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西安交通大学国家技术转移中心</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11200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项目占用厂房6000平方米，建设3条金刚石半导体器件生产线。</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正在准备项目审批及落地相应材料。</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耀州窑</w:t>
            </w:r>
          </w:p>
          <w:p>
            <w:pPr>
              <w:spacing w:line="360" w:lineRule="exact"/>
              <w:jc w:val="center"/>
              <w:rPr>
                <w:rFonts w:ascii="仿宋_GB2312" w:hAnsi="Calibri" w:eastAsia="仿宋_GB2312"/>
                <w:szCs w:val="21"/>
              </w:rPr>
            </w:pPr>
            <w:r>
              <w:rPr>
                <w:rFonts w:hint="eastAsia" w:ascii="仿宋_GB2312" w:eastAsia="仿宋_GB2312"/>
              </w:rPr>
              <w:t>文化基地管委会</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前期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18</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印台区数字经济产业园建设项目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铜川盛合智创经济产业发展有限公司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24000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新建大数据信息中心及研发中心楼1栋、智能仓储标准化厂房6万平方米，建设原料库房、成品库房，配套水、电、气、暖及道路硬化、场地绿化等相关附属设施等。</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选址南起九州果业,北至鼎铭物流货运站，总规划面积189亩。已完成征地摸底排查，制定土地征收方案，正在包装项目，拟通过申请专项债解决部分资金配套。</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印台区</w:t>
            </w:r>
          </w:p>
          <w:p>
            <w:pPr>
              <w:spacing w:line="360" w:lineRule="exact"/>
              <w:jc w:val="center"/>
              <w:rPr>
                <w:rFonts w:ascii="仿宋_GB2312" w:hAnsi="Calibri" w:eastAsia="仿宋_GB2312"/>
                <w:szCs w:val="21"/>
              </w:rPr>
            </w:pPr>
            <w:r>
              <w:rPr>
                <w:rFonts w:hint="eastAsia" w:ascii="仿宋_GB2312" w:eastAsia="仿宋_GB2312"/>
              </w:rPr>
              <w:t>政府</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前期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19</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铜川丝路互联网经济创新港</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铜川高达产业投资有限责任公司</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30000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新建招商运营服务中心1栋，新建会展服务中心1栋，创客中心1栋，产业发展中心1栋，配套建设电商生态聚集中心及仓储物流及其他配套设施等。</w:t>
            </w:r>
          </w:p>
        </w:tc>
        <w:tc>
          <w:tcPr>
            <w:tcW w:w="2663" w:type="dxa"/>
            <w:shd w:val="clear" w:color="auto" w:fill="auto"/>
            <w:noWrap w:val="0"/>
            <w:vAlign w:val="center"/>
          </w:tcPr>
          <w:p>
            <w:pPr>
              <w:spacing w:line="360" w:lineRule="exact"/>
              <w:rPr>
                <w:rFonts w:ascii="仿宋_GB2312" w:hAnsi="Calibri" w:eastAsia="仿宋_GB2312"/>
                <w:color w:val="000000"/>
                <w:szCs w:val="21"/>
              </w:rPr>
            </w:pPr>
            <w:r>
              <w:rPr>
                <w:rFonts w:hint="eastAsia" w:ascii="仿宋_GB2312" w:eastAsia="仿宋_GB2312"/>
                <w:color w:val="000000"/>
              </w:rPr>
              <w:t>项目初步选址在高新区樱园路，已完成备案，土地，环评手续，目前正在进行规划设计。</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市新区</w:t>
            </w:r>
          </w:p>
          <w:p>
            <w:pPr>
              <w:spacing w:line="360" w:lineRule="exact"/>
              <w:jc w:val="center"/>
              <w:rPr>
                <w:rFonts w:ascii="仿宋_GB2312" w:hAnsi="Calibri" w:eastAsia="仿宋_GB2312"/>
                <w:szCs w:val="21"/>
              </w:rPr>
            </w:pPr>
            <w:r>
              <w:rPr>
                <w:rFonts w:hint="eastAsia" w:ascii="仿宋_GB2312" w:eastAsia="仿宋_GB2312"/>
              </w:rPr>
              <w:t>管委会</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前期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20</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铜川市新区数字供应链产业园</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市新区管委会</w:t>
            </w:r>
          </w:p>
        </w:tc>
        <w:tc>
          <w:tcPr>
            <w:tcW w:w="973" w:type="dxa"/>
            <w:shd w:val="clear" w:color="auto" w:fill="auto"/>
            <w:noWrap w:val="0"/>
            <w:vAlign w:val="center"/>
          </w:tcPr>
          <w:p>
            <w:pPr>
              <w:spacing w:line="360" w:lineRule="exact"/>
              <w:jc w:val="center"/>
              <w:rPr>
                <w:rFonts w:ascii="仿宋_GB2312" w:hAnsi="Calibri" w:eastAsia="仿宋_GB2312"/>
                <w:szCs w:val="21"/>
              </w:rPr>
            </w:pPr>
            <w:r>
              <w:rPr>
                <w:rFonts w:hint="eastAsia" w:ascii="仿宋_GB2312" w:eastAsia="仿宋_GB2312"/>
              </w:rPr>
              <w:t>150000</w:t>
            </w:r>
          </w:p>
        </w:tc>
        <w:tc>
          <w:tcPr>
            <w:tcW w:w="3952" w:type="dxa"/>
            <w:shd w:val="clear" w:color="auto" w:fill="auto"/>
            <w:noWrap w:val="0"/>
            <w:vAlign w:val="center"/>
          </w:tcPr>
          <w:p>
            <w:pPr>
              <w:spacing w:line="360" w:lineRule="exact"/>
              <w:jc w:val="left"/>
              <w:rPr>
                <w:rFonts w:ascii="仿宋_GB2312" w:hAnsi="Calibri" w:eastAsia="仿宋_GB2312"/>
                <w:szCs w:val="21"/>
              </w:rPr>
            </w:pPr>
            <w:r>
              <w:rPr>
                <w:rFonts w:hint="eastAsia" w:ascii="仿宋_GB2312" w:eastAsia="仿宋_GB2312"/>
              </w:rPr>
              <w:t>项目总占地面积约1200亩新建铜川市新区应急物资储备中心、新区冷链物流云仓、电子商务仓储物流产业中心。</w:t>
            </w:r>
          </w:p>
        </w:tc>
        <w:tc>
          <w:tcPr>
            <w:tcW w:w="2663" w:type="dxa"/>
            <w:shd w:val="clear" w:color="auto" w:fill="auto"/>
            <w:noWrap w:val="0"/>
            <w:vAlign w:val="center"/>
          </w:tcPr>
          <w:p>
            <w:pPr>
              <w:spacing w:line="360" w:lineRule="exact"/>
              <w:rPr>
                <w:rFonts w:ascii="仿宋_GB2312" w:hAnsi="Calibri" w:eastAsia="仿宋_GB2312"/>
                <w:szCs w:val="21"/>
              </w:rPr>
            </w:pPr>
            <w:r>
              <w:rPr>
                <w:rFonts w:hint="eastAsia" w:ascii="仿宋_GB2312" w:eastAsia="仿宋_GB2312"/>
              </w:rPr>
              <w:t>项目初步选址野狐坡村，目前完成备案，正在进行土地报批。</w:t>
            </w:r>
          </w:p>
        </w:tc>
        <w:tc>
          <w:tcPr>
            <w:tcW w:w="896" w:type="dxa"/>
            <w:shd w:val="clear" w:color="auto" w:fill="FFFFFF"/>
            <w:noWrap w:val="0"/>
            <w:vAlign w:val="center"/>
          </w:tcPr>
          <w:p>
            <w:pPr>
              <w:spacing w:line="360" w:lineRule="exact"/>
              <w:jc w:val="center"/>
              <w:rPr>
                <w:rFonts w:ascii="仿宋_GB2312" w:eastAsia="仿宋_GB2312"/>
              </w:rPr>
            </w:pPr>
            <w:r>
              <w:rPr>
                <w:rFonts w:hint="eastAsia" w:ascii="仿宋_GB2312" w:eastAsia="仿宋_GB2312"/>
              </w:rPr>
              <w:t>市新区</w:t>
            </w:r>
          </w:p>
          <w:p>
            <w:pPr>
              <w:spacing w:line="360" w:lineRule="exact"/>
              <w:jc w:val="center"/>
              <w:rPr>
                <w:rFonts w:ascii="仿宋_GB2312" w:hAnsi="Calibri" w:eastAsia="仿宋_GB2312"/>
                <w:szCs w:val="21"/>
              </w:rPr>
            </w:pPr>
            <w:r>
              <w:rPr>
                <w:rFonts w:hint="eastAsia" w:ascii="仿宋_GB2312" w:eastAsia="仿宋_GB2312"/>
              </w:rPr>
              <w:t>管委会</w:t>
            </w:r>
          </w:p>
        </w:tc>
        <w:tc>
          <w:tcPr>
            <w:tcW w:w="869" w:type="dxa"/>
            <w:shd w:val="clear" w:color="auto" w:fill="FFFFFF"/>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前期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92" w:type="dxa"/>
            <w:shd w:val="clear" w:color="auto" w:fill="auto"/>
            <w:noWrap w:val="0"/>
            <w:vAlign w:val="center"/>
          </w:tcPr>
          <w:p>
            <w:pPr>
              <w:spacing w:line="360" w:lineRule="exact"/>
              <w:jc w:val="center"/>
              <w:rPr>
                <w:rFonts w:ascii="仿宋_GB2312" w:hAnsi="宋体" w:eastAsia="仿宋_GB2312" w:cs="宋体"/>
                <w:szCs w:val="21"/>
              </w:rPr>
            </w:pPr>
            <w:r>
              <w:rPr>
                <w:rFonts w:hint="eastAsia" w:ascii="仿宋_GB2312" w:hAnsi="宋体" w:eastAsia="仿宋_GB2312" w:cs="宋体"/>
              </w:rPr>
              <w:t>21</w:t>
            </w:r>
          </w:p>
        </w:tc>
        <w:tc>
          <w:tcPr>
            <w:tcW w:w="1696"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证通数据港项目</w:t>
            </w:r>
          </w:p>
        </w:tc>
        <w:tc>
          <w:tcPr>
            <w:tcW w:w="1565" w:type="dxa"/>
            <w:shd w:val="clear" w:color="auto" w:fill="auto"/>
            <w:noWrap w:val="0"/>
            <w:vAlign w:val="center"/>
          </w:tcPr>
          <w:p>
            <w:pPr>
              <w:spacing w:line="360" w:lineRule="exact"/>
              <w:jc w:val="center"/>
              <w:rPr>
                <w:rFonts w:ascii="仿宋_GB2312" w:eastAsia="仿宋_GB2312"/>
              </w:rPr>
            </w:pPr>
            <w:r>
              <w:rPr>
                <w:rFonts w:hint="eastAsia" w:ascii="仿宋_GB2312" w:eastAsia="仿宋_GB2312"/>
              </w:rPr>
              <w:t>深圳证通电子股份有限公司</w:t>
            </w:r>
          </w:p>
        </w:tc>
        <w:tc>
          <w:tcPr>
            <w:tcW w:w="973" w:type="dxa"/>
            <w:shd w:val="clear" w:color="auto" w:fill="auto"/>
            <w:noWrap w:val="0"/>
            <w:vAlign w:val="center"/>
          </w:tcPr>
          <w:p>
            <w:pPr>
              <w:widowControl/>
              <w:spacing w:line="360" w:lineRule="exact"/>
              <w:jc w:val="center"/>
              <w:textAlignment w:val="center"/>
              <w:rPr>
                <w:rFonts w:ascii="仿宋_GB2312" w:hAnsi="宋体" w:eastAsia="仿宋_GB2312" w:cs="宋体"/>
                <w:szCs w:val="21"/>
              </w:rPr>
            </w:pPr>
            <w:r>
              <w:rPr>
                <w:rFonts w:hint="eastAsia" w:ascii="仿宋_GB2312" w:hAnsi="宋体" w:eastAsia="仿宋_GB2312" w:cs="宋体"/>
              </w:rPr>
              <w:t>25000</w:t>
            </w:r>
          </w:p>
        </w:tc>
        <w:tc>
          <w:tcPr>
            <w:tcW w:w="3952" w:type="dxa"/>
            <w:shd w:val="clear" w:color="auto" w:fill="auto"/>
            <w:noWrap w:val="0"/>
            <w:vAlign w:val="top"/>
          </w:tcPr>
          <w:p>
            <w:pPr>
              <w:spacing w:line="360" w:lineRule="exact"/>
            </w:pPr>
            <w:r>
              <w:rPr>
                <w:rFonts w:hint="eastAsia" w:ascii="仿宋_GB2312" w:eastAsia="仿宋_GB2312"/>
              </w:rPr>
              <w:t>该项目建设数据中心（机柜200个）,利用云计算等技术,整合区域信息资源,实现一个平台统一管理,提升公共服务、社会治理等数字化智能化水平。</w:t>
            </w:r>
          </w:p>
        </w:tc>
        <w:tc>
          <w:tcPr>
            <w:tcW w:w="2663" w:type="dxa"/>
            <w:shd w:val="clear" w:color="auto" w:fill="auto"/>
            <w:noWrap w:val="0"/>
            <w:vAlign w:val="center"/>
          </w:tcPr>
          <w:p>
            <w:pPr>
              <w:widowControl/>
              <w:spacing w:line="360" w:lineRule="exact"/>
              <w:jc w:val="left"/>
              <w:textAlignment w:val="center"/>
              <w:rPr>
                <w:rFonts w:ascii="仿宋_GB2312" w:hAnsi="宋体" w:eastAsia="仿宋_GB2312" w:cs="宋体"/>
                <w:szCs w:val="21"/>
              </w:rPr>
            </w:pPr>
            <w:r>
              <w:rPr>
                <w:rFonts w:hint="eastAsia" w:ascii="仿宋_GB2312" w:hAnsi="宋体" w:eastAsia="仿宋_GB2312" w:cs="宋体"/>
              </w:rPr>
              <w:t>正在就数据中心建设落地细节进行对接。</w:t>
            </w:r>
          </w:p>
        </w:tc>
        <w:tc>
          <w:tcPr>
            <w:tcW w:w="896" w:type="dxa"/>
            <w:shd w:val="clear" w:color="auto" w:fill="FFFFFF"/>
            <w:noWrap w:val="0"/>
            <w:vAlign w:val="center"/>
          </w:tcPr>
          <w:p>
            <w:pPr>
              <w:widowControl/>
              <w:spacing w:line="360" w:lineRule="exact"/>
              <w:jc w:val="center"/>
              <w:textAlignment w:val="center"/>
              <w:rPr>
                <w:rFonts w:ascii="仿宋_GB2312" w:hAnsi="宋体" w:eastAsia="仿宋_GB2312" w:cs="宋体"/>
              </w:rPr>
            </w:pPr>
            <w:r>
              <w:rPr>
                <w:rFonts w:hint="eastAsia" w:ascii="仿宋_GB2312" w:hAnsi="宋体" w:eastAsia="仿宋_GB2312" w:cs="宋体"/>
              </w:rPr>
              <w:t>耀州区</w:t>
            </w:r>
          </w:p>
          <w:p>
            <w:pPr>
              <w:widowControl/>
              <w:spacing w:line="360" w:lineRule="exact"/>
              <w:jc w:val="center"/>
              <w:textAlignment w:val="center"/>
              <w:rPr>
                <w:rFonts w:ascii="仿宋_GB2312" w:hAnsi="宋体" w:eastAsia="仿宋_GB2312" w:cs="宋体"/>
                <w:szCs w:val="21"/>
              </w:rPr>
            </w:pPr>
            <w:r>
              <w:rPr>
                <w:rFonts w:hint="eastAsia" w:ascii="仿宋_GB2312" w:hAnsi="宋体" w:eastAsia="仿宋_GB2312" w:cs="宋体"/>
              </w:rPr>
              <w:t>政府</w:t>
            </w:r>
          </w:p>
        </w:tc>
        <w:tc>
          <w:tcPr>
            <w:tcW w:w="869" w:type="dxa"/>
            <w:shd w:val="clear" w:color="auto" w:fill="FFFFFF"/>
            <w:noWrap w:val="0"/>
            <w:vAlign w:val="center"/>
          </w:tcPr>
          <w:p>
            <w:pPr>
              <w:widowControl/>
              <w:spacing w:line="360" w:lineRule="exact"/>
              <w:jc w:val="center"/>
              <w:textAlignment w:val="center"/>
              <w:rPr>
                <w:rFonts w:ascii="仿宋_GB2312" w:hAnsi="宋体" w:eastAsia="仿宋_GB2312" w:cs="宋体"/>
                <w:szCs w:val="21"/>
              </w:rPr>
            </w:pPr>
            <w:r>
              <w:rPr>
                <w:rFonts w:hint="eastAsia" w:ascii="仿宋_GB2312" w:hAnsi="宋体" w:eastAsia="仿宋_GB2312" w:cs="宋体"/>
              </w:rPr>
              <w:t>前期</w:t>
            </w:r>
          </w:p>
        </w:tc>
      </w:tr>
    </w:tbl>
    <w:p>
      <w:pPr>
        <w:pStyle w:val="4"/>
        <w:widowControl/>
        <w:ind w:firstLine="536"/>
        <w:jc w:val="center"/>
        <w:rPr>
          <w:rFonts w:ascii="方正小标宋简体" w:hAnsi="宋体" w:eastAsia="方正小标宋简体" w:cs="黑体"/>
          <w:spacing w:val="-6"/>
          <w:sz w:val="28"/>
          <w:szCs w:val="28"/>
        </w:rPr>
      </w:pPr>
    </w:p>
    <w:p>
      <w:pPr>
        <w:pStyle w:val="4"/>
        <w:widowControl/>
        <w:jc w:val="center"/>
        <w:rPr>
          <w:rFonts w:ascii="方正小标宋简体" w:hAnsi="宋体" w:eastAsia="方正小标宋简体" w:cs="黑体"/>
          <w:spacing w:val="-6"/>
          <w:sz w:val="28"/>
          <w:szCs w:val="28"/>
        </w:rPr>
      </w:pPr>
      <w:r>
        <w:br w:type="page"/>
      </w:r>
      <w:r>
        <w:rPr>
          <w:rFonts w:hint="eastAsia" w:ascii="方正小标宋简体" w:hAnsi="宋体" w:eastAsia="方正小标宋简体" w:cs="黑体"/>
          <w:spacing w:val="-6"/>
          <w:sz w:val="28"/>
          <w:szCs w:val="28"/>
        </w:rPr>
        <w:t>【信息化和技术应用类  11个】</w:t>
      </w:r>
    </w:p>
    <w:tbl>
      <w:tblPr>
        <w:tblStyle w:val="6"/>
        <w:tblW w:w="131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686"/>
        <w:gridCol w:w="1276"/>
        <w:gridCol w:w="1076"/>
        <w:gridCol w:w="4090"/>
        <w:gridCol w:w="2431"/>
        <w:gridCol w:w="1134"/>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14" w:type="dxa"/>
            <w:tcBorders>
              <w:top w:val="single" w:color="auto" w:sz="12" w:space="0"/>
              <w:bottom w:val="single" w:color="auto" w:sz="12" w:space="0"/>
            </w:tcBorders>
            <w:shd w:val="clear" w:color="auto" w:fill="D7D7D7"/>
            <w:noWrap w:val="0"/>
            <w:vAlign w:val="center"/>
          </w:tcPr>
          <w:p>
            <w:pPr>
              <w:spacing w:line="320" w:lineRule="exact"/>
              <w:jc w:val="center"/>
              <w:rPr>
                <w:rFonts w:ascii="Calibri" w:hAnsi="Calibri"/>
                <w:szCs w:val="21"/>
              </w:rPr>
            </w:pPr>
            <w:r>
              <w:rPr>
                <w:rFonts w:hint="eastAsia" w:ascii="黑体" w:hAnsi="宋体" w:eastAsia="黑体"/>
                <w:spacing w:val="-6"/>
                <w:szCs w:val="21"/>
              </w:rPr>
              <w:t>序号</w:t>
            </w:r>
          </w:p>
        </w:tc>
        <w:tc>
          <w:tcPr>
            <w:tcW w:w="1686" w:type="dxa"/>
            <w:tcBorders>
              <w:top w:val="single" w:color="auto" w:sz="12" w:space="0"/>
              <w:bottom w:val="single" w:color="auto" w:sz="12" w:space="0"/>
            </w:tcBorders>
            <w:shd w:val="clear" w:color="auto" w:fill="D7D7D7"/>
            <w:noWrap w:val="0"/>
            <w:vAlign w:val="center"/>
          </w:tcPr>
          <w:p>
            <w:pPr>
              <w:spacing w:line="320" w:lineRule="exact"/>
              <w:jc w:val="center"/>
              <w:rPr>
                <w:rFonts w:ascii="黑体" w:hAnsi="宋体" w:eastAsia="黑体"/>
                <w:spacing w:val="-6"/>
                <w:szCs w:val="21"/>
              </w:rPr>
            </w:pPr>
            <w:r>
              <w:rPr>
                <w:rFonts w:hint="eastAsia" w:ascii="黑体" w:hAnsi="宋体" w:eastAsia="黑体"/>
                <w:spacing w:val="-6"/>
                <w:szCs w:val="21"/>
              </w:rPr>
              <w:t>项目名称</w:t>
            </w:r>
          </w:p>
        </w:tc>
        <w:tc>
          <w:tcPr>
            <w:tcW w:w="1276" w:type="dxa"/>
            <w:tcBorders>
              <w:top w:val="single" w:color="auto" w:sz="12" w:space="0"/>
              <w:bottom w:val="single" w:color="auto" w:sz="12" w:space="0"/>
            </w:tcBorders>
            <w:shd w:val="clear" w:color="auto" w:fill="D7D7D7"/>
            <w:noWrap w:val="0"/>
            <w:vAlign w:val="center"/>
          </w:tcPr>
          <w:p>
            <w:pPr>
              <w:spacing w:line="320" w:lineRule="exact"/>
              <w:jc w:val="center"/>
              <w:rPr>
                <w:rFonts w:ascii="黑体" w:hAnsi="宋体" w:eastAsia="黑体"/>
                <w:spacing w:val="-6"/>
                <w:szCs w:val="21"/>
              </w:rPr>
            </w:pPr>
            <w:r>
              <w:rPr>
                <w:rFonts w:hint="eastAsia" w:ascii="黑体" w:hAnsi="宋体" w:eastAsia="黑体"/>
                <w:spacing w:val="-6"/>
                <w:szCs w:val="21"/>
              </w:rPr>
              <w:t>投资主体</w:t>
            </w:r>
          </w:p>
        </w:tc>
        <w:tc>
          <w:tcPr>
            <w:tcW w:w="1076" w:type="dxa"/>
            <w:tcBorders>
              <w:top w:val="single" w:color="auto" w:sz="12" w:space="0"/>
              <w:bottom w:val="single" w:color="auto" w:sz="12" w:space="0"/>
            </w:tcBorders>
            <w:shd w:val="clear" w:color="auto" w:fill="D7D7D7"/>
            <w:noWrap w:val="0"/>
            <w:vAlign w:val="center"/>
          </w:tcPr>
          <w:p>
            <w:pPr>
              <w:spacing w:line="320" w:lineRule="exact"/>
              <w:jc w:val="center"/>
              <w:rPr>
                <w:rFonts w:ascii="黑体" w:hAnsi="宋体" w:eastAsia="黑体"/>
                <w:spacing w:val="-6"/>
                <w:szCs w:val="21"/>
              </w:rPr>
            </w:pPr>
            <w:r>
              <w:rPr>
                <w:rFonts w:hint="eastAsia" w:ascii="黑体" w:hAnsi="宋体" w:eastAsia="黑体"/>
                <w:spacing w:val="-6"/>
                <w:szCs w:val="21"/>
              </w:rPr>
              <w:t>总投资额</w:t>
            </w:r>
          </w:p>
          <w:p>
            <w:pPr>
              <w:spacing w:line="320" w:lineRule="exact"/>
              <w:jc w:val="center"/>
              <w:rPr>
                <w:rFonts w:ascii="黑体" w:hAnsi="宋体" w:eastAsia="黑体"/>
                <w:spacing w:val="-6"/>
                <w:szCs w:val="21"/>
              </w:rPr>
            </w:pPr>
            <w:r>
              <w:rPr>
                <w:rFonts w:hint="eastAsia" w:ascii="黑体" w:hAnsi="宋体" w:eastAsia="黑体"/>
                <w:spacing w:val="-6"/>
                <w:szCs w:val="21"/>
              </w:rPr>
              <w:t>（万元）</w:t>
            </w:r>
          </w:p>
        </w:tc>
        <w:tc>
          <w:tcPr>
            <w:tcW w:w="4090" w:type="dxa"/>
            <w:tcBorders>
              <w:top w:val="single" w:color="auto" w:sz="12" w:space="0"/>
              <w:bottom w:val="single" w:color="auto" w:sz="12" w:space="0"/>
            </w:tcBorders>
            <w:shd w:val="clear" w:color="auto" w:fill="D7D7D7"/>
            <w:noWrap w:val="0"/>
            <w:vAlign w:val="center"/>
          </w:tcPr>
          <w:p>
            <w:pPr>
              <w:spacing w:line="320" w:lineRule="exact"/>
              <w:jc w:val="center"/>
              <w:rPr>
                <w:rFonts w:ascii="黑体" w:hAnsi="宋体" w:eastAsia="黑体"/>
                <w:spacing w:val="-6"/>
                <w:szCs w:val="21"/>
              </w:rPr>
            </w:pPr>
            <w:r>
              <w:rPr>
                <w:rFonts w:hint="eastAsia" w:ascii="黑体" w:hAnsi="宋体" w:eastAsia="黑体"/>
                <w:spacing w:val="-6"/>
                <w:szCs w:val="21"/>
              </w:rPr>
              <w:t>建设内容</w:t>
            </w:r>
          </w:p>
        </w:tc>
        <w:tc>
          <w:tcPr>
            <w:tcW w:w="2431" w:type="dxa"/>
            <w:tcBorders>
              <w:top w:val="single" w:color="auto" w:sz="12" w:space="0"/>
              <w:bottom w:val="single" w:color="auto" w:sz="12" w:space="0"/>
            </w:tcBorders>
            <w:shd w:val="clear" w:color="auto" w:fill="D7D7D7"/>
            <w:noWrap w:val="0"/>
            <w:vAlign w:val="center"/>
          </w:tcPr>
          <w:p>
            <w:pPr>
              <w:spacing w:line="320" w:lineRule="exact"/>
              <w:jc w:val="center"/>
              <w:rPr>
                <w:rFonts w:ascii="黑体" w:hAnsi="宋体" w:eastAsia="黑体"/>
                <w:spacing w:val="-6"/>
                <w:szCs w:val="21"/>
              </w:rPr>
            </w:pPr>
            <w:r>
              <w:rPr>
                <w:rFonts w:hint="eastAsia" w:ascii="黑体" w:hAnsi="宋体" w:eastAsia="黑体"/>
                <w:spacing w:val="-6"/>
                <w:szCs w:val="21"/>
              </w:rPr>
              <w:t>项目进展</w:t>
            </w:r>
          </w:p>
        </w:tc>
        <w:tc>
          <w:tcPr>
            <w:tcW w:w="1134" w:type="dxa"/>
            <w:tcBorders>
              <w:top w:val="single" w:color="auto" w:sz="12" w:space="0"/>
              <w:bottom w:val="single" w:color="auto" w:sz="12" w:space="0"/>
            </w:tcBorders>
            <w:shd w:val="clear" w:color="auto" w:fill="D7D7D7"/>
            <w:noWrap w:val="0"/>
            <w:vAlign w:val="center"/>
          </w:tcPr>
          <w:p>
            <w:pPr>
              <w:spacing w:line="320" w:lineRule="exact"/>
              <w:jc w:val="center"/>
              <w:rPr>
                <w:rFonts w:ascii="黑体" w:hAnsi="宋体" w:eastAsia="黑体"/>
                <w:spacing w:val="-6"/>
                <w:szCs w:val="21"/>
              </w:rPr>
            </w:pPr>
            <w:r>
              <w:rPr>
                <w:rFonts w:hint="eastAsia" w:ascii="黑体" w:hAnsi="宋体" w:eastAsia="黑体"/>
                <w:spacing w:val="-6"/>
                <w:szCs w:val="21"/>
              </w:rPr>
              <w:t>项目单位</w:t>
            </w:r>
          </w:p>
        </w:tc>
        <w:tc>
          <w:tcPr>
            <w:tcW w:w="850" w:type="dxa"/>
            <w:tcBorders>
              <w:top w:val="single" w:color="auto" w:sz="12" w:space="0"/>
              <w:bottom w:val="single" w:color="auto" w:sz="12" w:space="0"/>
            </w:tcBorders>
            <w:shd w:val="clear" w:color="auto" w:fill="D7D7D7"/>
            <w:noWrap w:val="0"/>
            <w:vAlign w:val="center"/>
          </w:tcPr>
          <w:p>
            <w:pPr>
              <w:spacing w:line="320" w:lineRule="exact"/>
              <w:jc w:val="center"/>
              <w:rPr>
                <w:rFonts w:ascii="黑体" w:hAnsi="宋体" w:eastAsia="黑体"/>
                <w:spacing w:val="-6"/>
                <w:szCs w:val="21"/>
              </w:rPr>
            </w:pPr>
            <w:r>
              <w:rPr>
                <w:rFonts w:hint="eastAsia" w:ascii="黑体" w:hAnsi="宋体" w:eastAsia="黑体"/>
                <w:spacing w:val="-6"/>
                <w:szCs w:val="21"/>
              </w:rPr>
              <w:t>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tcBorders>
              <w:top w:val="single" w:color="auto" w:sz="12" w:space="0"/>
            </w:tcBorders>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1</w:t>
            </w:r>
          </w:p>
        </w:tc>
        <w:tc>
          <w:tcPr>
            <w:tcW w:w="1686" w:type="dxa"/>
            <w:tcBorders>
              <w:top w:val="single" w:color="auto" w:sz="12" w:space="0"/>
            </w:tcBorders>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腾讯新零售</w:t>
            </w:r>
          </w:p>
          <w:p>
            <w:pPr>
              <w:spacing w:line="320" w:lineRule="exact"/>
              <w:jc w:val="center"/>
              <w:rPr>
                <w:rFonts w:ascii="仿宋_GB2312" w:eastAsia="仿宋_GB2312"/>
                <w:szCs w:val="21"/>
              </w:rPr>
            </w:pPr>
            <w:r>
              <w:rPr>
                <w:rFonts w:hint="eastAsia" w:ascii="仿宋_GB2312" w:eastAsia="仿宋_GB2312"/>
                <w:szCs w:val="21"/>
              </w:rPr>
              <w:t>战略项目（小鹅拼拼）</w:t>
            </w:r>
          </w:p>
        </w:tc>
        <w:tc>
          <w:tcPr>
            <w:tcW w:w="1276" w:type="dxa"/>
            <w:tcBorders>
              <w:top w:val="single" w:color="auto" w:sz="12" w:space="0"/>
            </w:tcBorders>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腾讯集团</w:t>
            </w:r>
          </w:p>
        </w:tc>
        <w:tc>
          <w:tcPr>
            <w:tcW w:w="1076" w:type="dxa"/>
            <w:tcBorders>
              <w:top w:val="single" w:color="auto" w:sz="12" w:space="0"/>
            </w:tcBorders>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5000</w:t>
            </w:r>
          </w:p>
        </w:tc>
        <w:tc>
          <w:tcPr>
            <w:tcW w:w="4090" w:type="dxa"/>
            <w:tcBorders>
              <w:top w:val="single" w:color="auto" w:sz="12" w:space="0"/>
            </w:tcBorders>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依托腾讯资源优势，整合小微电商，减少供应环节，提升供应效率。是腾讯集团总部主抓推进的新经济业态，在西部地区尚属首家，项目建成后对于抢占西部市场具有十分重要的意义。</w:t>
            </w:r>
          </w:p>
        </w:tc>
        <w:tc>
          <w:tcPr>
            <w:tcW w:w="2431" w:type="dxa"/>
            <w:tcBorders>
              <w:top w:val="single" w:color="auto" w:sz="12" w:space="0"/>
            </w:tcBorders>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正在进行小微电商资源整合。</w:t>
            </w:r>
          </w:p>
        </w:tc>
        <w:tc>
          <w:tcPr>
            <w:tcW w:w="1134" w:type="dxa"/>
            <w:tcBorders>
              <w:top w:val="single" w:color="auto" w:sz="12" w:space="0"/>
            </w:tcBorders>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耀州区</w:t>
            </w:r>
          </w:p>
          <w:p>
            <w:pPr>
              <w:spacing w:line="320" w:lineRule="exact"/>
              <w:jc w:val="center"/>
              <w:rPr>
                <w:rFonts w:ascii="仿宋_GB2312" w:hAnsi="Calibri" w:eastAsia="仿宋_GB2312"/>
                <w:szCs w:val="21"/>
              </w:rPr>
            </w:pPr>
            <w:r>
              <w:rPr>
                <w:rFonts w:hint="eastAsia" w:ascii="仿宋_GB2312" w:hAnsi="宋体" w:eastAsia="仿宋_GB2312" w:cs="宋体"/>
                <w:szCs w:val="21"/>
              </w:rPr>
              <w:t>政府</w:t>
            </w:r>
          </w:p>
        </w:tc>
        <w:tc>
          <w:tcPr>
            <w:tcW w:w="850" w:type="dxa"/>
            <w:tcBorders>
              <w:top w:val="single" w:color="auto" w:sz="12" w:space="0"/>
            </w:tcBorders>
            <w:shd w:val="clear" w:color="auto" w:fill="FFFFFF"/>
            <w:noWrap w:val="0"/>
            <w:vAlign w:val="center"/>
          </w:tcPr>
          <w:p>
            <w:pPr>
              <w:spacing w:line="320" w:lineRule="exact"/>
              <w:jc w:val="center"/>
              <w:rPr>
                <w:rFonts w:ascii="仿宋_GB2312" w:hAnsi="Calibri" w:eastAsia="仿宋_GB2312"/>
                <w:szCs w:val="21"/>
              </w:rPr>
            </w:pPr>
            <w:r>
              <w:rPr>
                <w:rFonts w:hint="eastAsia" w:ascii="仿宋_GB2312" w:hAnsi="宋体" w:eastAsia="仿宋_GB2312" w:cs="宋体"/>
                <w:szCs w:val="21"/>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2</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重型柴油车OBD远程在线监控平台建设项目</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深圳道通科技股份有限公司</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5000</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该项目通过在柴油车上安装车载自动诊断系统，进行数据采集和监控。建成后将进一步保障运输车辆高效率、低风险，降低事故发生率。</w:t>
            </w:r>
          </w:p>
        </w:tc>
        <w:tc>
          <w:tcPr>
            <w:tcW w:w="2431"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年度完成投资520万元，已完成135套车载自动诊断系统安装。</w:t>
            </w:r>
          </w:p>
        </w:tc>
        <w:tc>
          <w:tcPr>
            <w:tcW w:w="1134"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耀州区</w:t>
            </w:r>
          </w:p>
          <w:p>
            <w:pPr>
              <w:spacing w:line="320" w:lineRule="exact"/>
              <w:jc w:val="center"/>
              <w:rPr>
                <w:rFonts w:ascii="仿宋_GB2312" w:hAnsi="Calibri" w:eastAsia="仿宋_GB2312"/>
                <w:szCs w:val="21"/>
              </w:rPr>
            </w:pPr>
            <w:r>
              <w:rPr>
                <w:rFonts w:hint="eastAsia" w:ascii="仿宋_GB2312" w:hAnsi="宋体" w:eastAsia="仿宋_GB2312" w:cs="宋体"/>
                <w:szCs w:val="21"/>
              </w:rPr>
              <w:t>政府</w:t>
            </w:r>
          </w:p>
        </w:tc>
        <w:tc>
          <w:tcPr>
            <w:tcW w:w="850" w:type="dxa"/>
            <w:shd w:val="clear" w:color="auto" w:fill="FFFFFF"/>
            <w:noWrap w:val="0"/>
            <w:vAlign w:val="center"/>
          </w:tcPr>
          <w:p>
            <w:pPr>
              <w:spacing w:line="320" w:lineRule="exact"/>
              <w:jc w:val="center"/>
              <w:rPr>
                <w:rFonts w:ascii="仿宋_GB2312" w:hAnsi="Calibri" w:eastAsia="仿宋_GB2312"/>
                <w:szCs w:val="21"/>
              </w:rPr>
            </w:pPr>
            <w:r>
              <w:rPr>
                <w:rFonts w:hint="eastAsia" w:ascii="仿宋_GB2312" w:hAnsi="宋体" w:eastAsia="仿宋_GB2312" w:cs="宋体"/>
                <w:szCs w:val="21"/>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3</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铜川市王益中学智慧校园</w:t>
            </w:r>
          </w:p>
          <w:p>
            <w:pPr>
              <w:spacing w:line="320" w:lineRule="exact"/>
              <w:jc w:val="center"/>
              <w:rPr>
                <w:rFonts w:ascii="仿宋_GB2312" w:eastAsia="仿宋_GB2312"/>
                <w:szCs w:val="21"/>
              </w:rPr>
            </w:pPr>
            <w:r>
              <w:rPr>
                <w:rFonts w:hint="eastAsia" w:ascii="仿宋_GB2312" w:eastAsia="仿宋_GB2312"/>
                <w:szCs w:val="21"/>
              </w:rPr>
              <w:t>建设项目</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铜川市王益区教育科技体育局</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2190</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为铜川市王益中学配置安防、录播教室、智慧校园管理平台、智慧教学展示等22个系统。</w:t>
            </w:r>
          </w:p>
        </w:tc>
        <w:tc>
          <w:tcPr>
            <w:tcW w:w="2431" w:type="dxa"/>
            <w:shd w:val="clear" w:color="auto" w:fill="auto"/>
            <w:noWrap w:val="0"/>
            <w:vAlign w:val="center"/>
          </w:tcPr>
          <w:p>
            <w:pPr>
              <w:spacing w:line="320" w:lineRule="exact"/>
              <w:rPr>
                <w:rFonts w:ascii="仿宋_GB2312" w:hAnsi="Calibri" w:eastAsia="仿宋_GB2312"/>
                <w:szCs w:val="21"/>
              </w:rPr>
            </w:pPr>
            <w:r>
              <w:rPr>
                <w:rFonts w:hint="eastAsia" w:ascii="仿宋_GB2312" w:eastAsia="仿宋_GB2312"/>
                <w:szCs w:val="21"/>
              </w:rPr>
              <w:t>项目部分设备已到货，并开始安装智慧黑板、电子餐盘等。</w:t>
            </w:r>
          </w:p>
        </w:tc>
        <w:tc>
          <w:tcPr>
            <w:tcW w:w="1134" w:type="dxa"/>
            <w:shd w:val="clear" w:color="auto" w:fill="FFFFFF"/>
            <w:noWrap w:val="0"/>
            <w:vAlign w:val="center"/>
          </w:tcPr>
          <w:p>
            <w:pPr>
              <w:spacing w:line="320" w:lineRule="exact"/>
              <w:jc w:val="center"/>
              <w:rPr>
                <w:rFonts w:ascii="仿宋_GB2312" w:eastAsia="仿宋_GB2312"/>
                <w:szCs w:val="21"/>
              </w:rPr>
            </w:pPr>
            <w:r>
              <w:rPr>
                <w:rFonts w:hint="eastAsia" w:ascii="仿宋_GB2312" w:eastAsia="仿宋_GB2312"/>
                <w:szCs w:val="21"/>
              </w:rPr>
              <w:t>王益区</w:t>
            </w:r>
          </w:p>
          <w:p>
            <w:pPr>
              <w:spacing w:line="320" w:lineRule="exact"/>
              <w:jc w:val="center"/>
              <w:rPr>
                <w:rFonts w:ascii="仿宋_GB2312" w:hAnsi="宋体" w:eastAsia="仿宋_GB2312" w:cs="宋体"/>
                <w:szCs w:val="21"/>
              </w:rPr>
            </w:pPr>
            <w:r>
              <w:rPr>
                <w:rFonts w:hint="eastAsia" w:ascii="仿宋_GB2312" w:eastAsia="仿宋_GB2312"/>
                <w:szCs w:val="21"/>
              </w:rPr>
              <w:t>政府</w:t>
            </w:r>
          </w:p>
        </w:tc>
        <w:tc>
          <w:tcPr>
            <w:tcW w:w="850"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4</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铜川市智慧城市项目（二期）</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铜川铜云信息技术有限公司</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7894</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通过建设全市统一的数据共享交换平台、业务中台以及数据资源池等城市神经元网络，结合铜川现有信息化系统，打造医疗、教育等领域4</w:t>
            </w:r>
            <w:r>
              <w:rPr>
                <w:rFonts w:ascii="仿宋_GB2312" w:eastAsia="仿宋_GB2312"/>
                <w:szCs w:val="21"/>
              </w:rPr>
              <w:t>2</w:t>
            </w:r>
            <w:r>
              <w:rPr>
                <w:rFonts w:hint="eastAsia" w:ascii="仿宋_GB2312" w:eastAsia="仿宋_GB2312"/>
                <w:szCs w:val="21"/>
              </w:rPr>
              <w:t>个应用场景。</w:t>
            </w:r>
          </w:p>
        </w:tc>
        <w:tc>
          <w:tcPr>
            <w:tcW w:w="2431" w:type="dxa"/>
            <w:shd w:val="clear" w:color="auto" w:fill="auto"/>
            <w:noWrap w:val="0"/>
            <w:vAlign w:val="center"/>
          </w:tcPr>
          <w:p>
            <w:pPr>
              <w:spacing w:line="320" w:lineRule="exact"/>
              <w:rPr>
                <w:rFonts w:ascii="仿宋_GB2312" w:hAnsi="Calibri" w:eastAsia="仿宋_GB2312"/>
                <w:szCs w:val="21"/>
              </w:rPr>
            </w:pPr>
            <w:r>
              <w:rPr>
                <w:rFonts w:hint="eastAsia" w:ascii="仿宋_GB2312" w:eastAsia="仿宋_GB2312"/>
                <w:szCs w:val="21"/>
              </w:rPr>
              <w:t>42个应用场景正在全面加快建设，数据融合平台搭建完成，调研梳理63个市级单位数据资源并形成目录清单。</w:t>
            </w:r>
          </w:p>
        </w:tc>
        <w:tc>
          <w:tcPr>
            <w:tcW w:w="1134" w:type="dxa"/>
            <w:shd w:val="clear" w:color="auto" w:fill="FFFFFF"/>
            <w:noWrap w:val="0"/>
            <w:vAlign w:val="center"/>
          </w:tcPr>
          <w:p>
            <w:pPr>
              <w:spacing w:line="320" w:lineRule="exact"/>
              <w:jc w:val="center"/>
              <w:rPr>
                <w:rFonts w:ascii="仿宋_GB2312" w:eastAsia="仿宋_GB2312"/>
                <w:szCs w:val="21"/>
              </w:rPr>
            </w:pPr>
            <w:r>
              <w:rPr>
                <w:rFonts w:hint="eastAsia" w:ascii="仿宋_GB2312" w:eastAsia="仿宋_GB2312"/>
                <w:szCs w:val="21"/>
              </w:rPr>
              <w:t>市发展</w:t>
            </w:r>
          </w:p>
          <w:p>
            <w:pPr>
              <w:spacing w:line="320" w:lineRule="exact"/>
              <w:jc w:val="center"/>
              <w:rPr>
                <w:rFonts w:ascii="仿宋_GB2312" w:hAnsi="Calibri" w:eastAsia="仿宋_GB2312"/>
                <w:szCs w:val="21"/>
              </w:rPr>
            </w:pPr>
            <w:r>
              <w:rPr>
                <w:rFonts w:hint="eastAsia" w:ascii="仿宋_GB2312" w:eastAsia="仿宋_GB2312"/>
                <w:szCs w:val="21"/>
              </w:rPr>
              <w:t>改革委</w:t>
            </w:r>
          </w:p>
        </w:tc>
        <w:tc>
          <w:tcPr>
            <w:tcW w:w="850"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5</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“天融工程 数字铜川”试点建设项目</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西安天和防务技术股份有限公司</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30000</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布设智慧路灯，基于通信、电力铁塔，完成森林火灾监控，形成全市地面感知网络；展智慧医疗子系统试点；搭建军民融合大数据服务平台；开展航天卫星、低空无人机等方面工作，构建空间网络感知。</w:t>
            </w:r>
          </w:p>
        </w:tc>
        <w:tc>
          <w:tcPr>
            <w:tcW w:w="2431" w:type="dxa"/>
            <w:shd w:val="clear" w:color="auto" w:fill="auto"/>
            <w:noWrap w:val="0"/>
            <w:vAlign w:val="center"/>
          </w:tcPr>
          <w:p>
            <w:pPr>
              <w:spacing w:line="320" w:lineRule="exact"/>
              <w:rPr>
                <w:rFonts w:ascii="仿宋_GB2312" w:hAnsi="Calibri" w:eastAsia="仿宋_GB2312"/>
                <w:szCs w:val="21"/>
              </w:rPr>
            </w:pPr>
            <w:r>
              <w:rPr>
                <w:rFonts w:hint="eastAsia" w:ascii="仿宋_GB2312" w:eastAsia="仿宋_GB2312"/>
                <w:szCs w:val="21"/>
              </w:rPr>
              <w:t>已完成G6522延西高速宜君段试点建设。</w:t>
            </w:r>
          </w:p>
        </w:tc>
        <w:tc>
          <w:tcPr>
            <w:tcW w:w="1134" w:type="dxa"/>
            <w:shd w:val="clear" w:color="auto" w:fill="FFFFFF"/>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市委军民融合办</w:t>
            </w:r>
          </w:p>
        </w:tc>
        <w:tc>
          <w:tcPr>
            <w:tcW w:w="850"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6</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中医AI智能诊疗系统</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陕西本素数字医学发展有限公司</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24000</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建设采集标准化实验室，AI智能医学实验室设立。</w:t>
            </w:r>
          </w:p>
        </w:tc>
        <w:tc>
          <w:tcPr>
            <w:tcW w:w="2431" w:type="dxa"/>
            <w:shd w:val="clear" w:color="auto" w:fill="auto"/>
            <w:noWrap w:val="0"/>
            <w:vAlign w:val="center"/>
          </w:tcPr>
          <w:p>
            <w:pPr>
              <w:spacing w:line="320" w:lineRule="exact"/>
              <w:rPr>
                <w:rFonts w:ascii="仿宋_GB2312" w:eastAsia="仿宋_GB2312"/>
                <w:szCs w:val="21"/>
              </w:rPr>
            </w:pPr>
            <w:r>
              <w:rPr>
                <w:rFonts w:hint="eastAsia" w:ascii="仿宋_GB2312" w:eastAsia="仿宋_GB2312"/>
                <w:szCs w:val="21"/>
              </w:rPr>
              <w:t>项目立项工作完成；正在对各医疗机构信息进行采集，完善设计方案。</w:t>
            </w:r>
          </w:p>
        </w:tc>
        <w:tc>
          <w:tcPr>
            <w:tcW w:w="1134" w:type="dxa"/>
            <w:shd w:val="clear" w:color="auto" w:fill="FFFFFF"/>
            <w:noWrap w:val="0"/>
            <w:vAlign w:val="center"/>
          </w:tcPr>
          <w:p>
            <w:pPr>
              <w:spacing w:line="320" w:lineRule="exact"/>
              <w:jc w:val="center"/>
              <w:rPr>
                <w:rFonts w:ascii="仿宋_GB2312" w:eastAsia="仿宋_GB2312"/>
                <w:szCs w:val="21"/>
              </w:rPr>
            </w:pPr>
            <w:r>
              <w:rPr>
                <w:rFonts w:hint="eastAsia" w:ascii="仿宋_GB2312" w:eastAsia="仿宋_GB2312"/>
                <w:szCs w:val="21"/>
              </w:rPr>
              <w:t>市卫生健康委员会</w:t>
            </w:r>
          </w:p>
        </w:tc>
        <w:tc>
          <w:tcPr>
            <w:tcW w:w="850"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7</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铜川市厂网河一体化城市综合管理服务平台</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铜川市城市管理执法局</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3485</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项目建设成分利用物联网、AI可视化、大数据分析等技术，依托GIS地理信息系统，实现城市管理监测监管，督查督办，应急处理，决策服务，提升城市管理信息化水平。</w:t>
            </w:r>
          </w:p>
        </w:tc>
        <w:tc>
          <w:tcPr>
            <w:tcW w:w="2431" w:type="dxa"/>
            <w:shd w:val="clear" w:color="auto" w:fill="auto"/>
            <w:noWrap w:val="0"/>
            <w:vAlign w:val="center"/>
          </w:tcPr>
          <w:p>
            <w:pPr>
              <w:spacing w:line="320" w:lineRule="exact"/>
              <w:rPr>
                <w:rFonts w:ascii="仿宋_GB2312" w:hAnsi="Calibri" w:eastAsia="仿宋_GB2312"/>
                <w:color w:val="FF0000"/>
                <w:szCs w:val="21"/>
              </w:rPr>
            </w:pPr>
            <w:r>
              <w:rPr>
                <w:rFonts w:hint="eastAsia" w:ascii="仿宋_GB2312" w:eastAsia="仿宋_GB2312"/>
                <w:color w:val="000000"/>
                <w:szCs w:val="21"/>
              </w:rPr>
              <w:t>项目完成实勘，拟定术方案，对接相关部门确定可共享资源，即将施工，推进监督指挥中心改造。厂网河监测平台进入原型开发阶段，完成30%。</w:t>
            </w:r>
          </w:p>
        </w:tc>
        <w:tc>
          <w:tcPr>
            <w:tcW w:w="1134" w:type="dxa"/>
            <w:shd w:val="clear" w:color="auto" w:fill="FFFFFF"/>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铜川市城市管理执法局</w:t>
            </w:r>
          </w:p>
        </w:tc>
        <w:tc>
          <w:tcPr>
            <w:tcW w:w="850"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8</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玉华矿智慧矿山项目</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联通铜川分公司</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500</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建设智慧生产系统、智慧安全系统、智慧技术与后勤保障系统等。</w:t>
            </w:r>
          </w:p>
        </w:tc>
        <w:tc>
          <w:tcPr>
            <w:tcW w:w="2431" w:type="dxa"/>
            <w:shd w:val="clear" w:color="auto" w:fill="auto"/>
            <w:noWrap w:val="0"/>
            <w:vAlign w:val="center"/>
          </w:tcPr>
          <w:p>
            <w:pPr>
              <w:spacing w:line="320" w:lineRule="exact"/>
              <w:rPr>
                <w:rFonts w:ascii="仿宋_GB2312" w:hAnsi="Calibri" w:eastAsia="仿宋_GB2312"/>
                <w:szCs w:val="21"/>
              </w:rPr>
            </w:pPr>
            <w:r>
              <w:rPr>
                <w:rFonts w:hint="eastAsia" w:ascii="仿宋_GB2312" w:eastAsia="仿宋_GB2312"/>
                <w:szCs w:val="21"/>
              </w:rPr>
              <w:t>5G专网部署完成，正在针对矿山环境搭建场景。</w:t>
            </w:r>
          </w:p>
        </w:tc>
        <w:tc>
          <w:tcPr>
            <w:tcW w:w="1134" w:type="dxa"/>
            <w:shd w:val="clear" w:color="auto" w:fill="FFFFFF"/>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联通铜川分公司</w:t>
            </w:r>
          </w:p>
        </w:tc>
        <w:tc>
          <w:tcPr>
            <w:tcW w:w="850"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9</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铜川市工业互联网平台</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铜川市工业和信息化局</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3800</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建设1个市级工业互联网平台（1255万），1个智慧园区（董家河工业园区2544万）。</w:t>
            </w:r>
          </w:p>
        </w:tc>
        <w:tc>
          <w:tcPr>
            <w:tcW w:w="2431" w:type="dxa"/>
            <w:shd w:val="clear" w:color="auto" w:fill="auto"/>
            <w:noWrap w:val="0"/>
            <w:vAlign w:val="center"/>
          </w:tcPr>
          <w:p>
            <w:pPr>
              <w:spacing w:line="320" w:lineRule="exact"/>
              <w:rPr>
                <w:rFonts w:ascii="仿宋_GB2312" w:hAnsi="Calibri" w:eastAsia="仿宋_GB2312"/>
                <w:szCs w:val="21"/>
              </w:rPr>
            </w:pPr>
            <w:r>
              <w:rPr>
                <w:rFonts w:hint="eastAsia" w:ascii="仿宋_GB2312" w:eastAsia="仿宋_GB2312"/>
                <w:szCs w:val="21"/>
              </w:rPr>
              <w:t>正在对工业互联网建设方案进行评审完善。</w:t>
            </w:r>
          </w:p>
        </w:tc>
        <w:tc>
          <w:tcPr>
            <w:tcW w:w="1134" w:type="dxa"/>
            <w:shd w:val="clear" w:color="auto" w:fill="FFFFFF"/>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铜川市工业和信息化局</w:t>
            </w:r>
          </w:p>
        </w:tc>
        <w:tc>
          <w:tcPr>
            <w:tcW w:w="850"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新开工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10</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铜川市消防</w:t>
            </w:r>
          </w:p>
          <w:p>
            <w:pPr>
              <w:spacing w:line="320" w:lineRule="exact"/>
              <w:jc w:val="center"/>
              <w:rPr>
                <w:rFonts w:ascii="仿宋_GB2312" w:eastAsia="仿宋_GB2312"/>
                <w:szCs w:val="21"/>
              </w:rPr>
            </w:pPr>
            <w:r>
              <w:rPr>
                <w:rFonts w:hint="eastAsia" w:ascii="仿宋_GB2312" w:eastAsia="仿宋_GB2312"/>
                <w:szCs w:val="21"/>
              </w:rPr>
              <w:t>救援支队综合</w:t>
            </w:r>
          </w:p>
          <w:p>
            <w:pPr>
              <w:spacing w:line="320" w:lineRule="exact"/>
              <w:jc w:val="center"/>
              <w:rPr>
                <w:rFonts w:ascii="仿宋_GB2312" w:eastAsia="仿宋_GB2312"/>
                <w:szCs w:val="21"/>
              </w:rPr>
            </w:pPr>
            <w:r>
              <w:rPr>
                <w:rFonts w:hint="eastAsia" w:ascii="仿宋_GB2312" w:eastAsia="仿宋_GB2312"/>
                <w:szCs w:val="21"/>
              </w:rPr>
              <w:t>指挥中心</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市消防救援支队</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3300</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项目位于消防救援支队院内，主要建设实战指挥平台及支队级综合会议中心。</w:t>
            </w:r>
          </w:p>
        </w:tc>
        <w:tc>
          <w:tcPr>
            <w:tcW w:w="2431" w:type="dxa"/>
            <w:shd w:val="clear" w:color="auto" w:fill="auto"/>
            <w:noWrap w:val="0"/>
            <w:vAlign w:val="center"/>
          </w:tcPr>
          <w:p>
            <w:pPr>
              <w:spacing w:line="320" w:lineRule="exact"/>
              <w:rPr>
                <w:rFonts w:ascii="仿宋_GB2312" w:hAnsi="Calibri" w:eastAsia="仿宋_GB2312"/>
                <w:szCs w:val="21"/>
              </w:rPr>
            </w:pPr>
            <w:r>
              <w:rPr>
                <w:rFonts w:hint="eastAsia" w:ascii="仿宋_GB2312" w:eastAsia="仿宋_GB2312"/>
                <w:szCs w:val="21"/>
              </w:rPr>
              <w:t>目前正在进行方案设计。</w:t>
            </w:r>
          </w:p>
        </w:tc>
        <w:tc>
          <w:tcPr>
            <w:tcW w:w="1134" w:type="dxa"/>
            <w:shd w:val="clear" w:color="auto" w:fill="FFFFFF"/>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市消防救援支队</w:t>
            </w:r>
          </w:p>
        </w:tc>
        <w:tc>
          <w:tcPr>
            <w:tcW w:w="850"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前期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4"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11</w:t>
            </w:r>
          </w:p>
        </w:tc>
        <w:tc>
          <w:tcPr>
            <w:tcW w:w="168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赛骏汽车工业信息化改造和智能生产线项目</w:t>
            </w:r>
          </w:p>
        </w:tc>
        <w:tc>
          <w:tcPr>
            <w:tcW w:w="1276" w:type="dxa"/>
            <w:shd w:val="clear" w:color="auto" w:fill="auto"/>
            <w:noWrap w:val="0"/>
            <w:vAlign w:val="center"/>
          </w:tcPr>
          <w:p>
            <w:pPr>
              <w:spacing w:line="320" w:lineRule="exact"/>
              <w:jc w:val="center"/>
              <w:rPr>
                <w:rFonts w:ascii="仿宋_GB2312" w:eastAsia="仿宋_GB2312"/>
                <w:szCs w:val="21"/>
              </w:rPr>
            </w:pPr>
            <w:r>
              <w:rPr>
                <w:rFonts w:hint="eastAsia" w:ascii="仿宋_GB2312" w:eastAsia="仿宋_GB2312"/>
                <w:szCs w:val="21"/>
              </w:rPr>
              <w:t>联通铜川分公司</w:t>
            </w:r>
          </w:p>
        </w:tc>
        <w:tc>
          <w:tcPr>
            <w:tcW w:w="1076" w:type="dxa"/>
            <w:shd w:val="clear" w:color="auto" w:fill="auto"/>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1000</w:t>
            </w:r>
          </w:p>
        </w:tc>
        <w:tc>
          <w:tcPr>
            <w:tcW w:w="4090" w:type="dxa"/>
            <w:shd w:val="clear" w:color="auto" w:fill="auto"/>
            <w:noWrap w:val="0"/>
            <w:vAlign w:val="center"/>
          </w:tcPr>
          <w:p>
            <w:pPr>
              <w:spacing w:line="320" w:lineRule="exact"/>
              <w:jc w:val="left"/>
              <w:rPr>
                <w:rFonts w:ascii="仿宋_GB2312" w:hAnsi="Calibri" w:eastAsia="仿宋_GB2312"/>
                <w:szCs w:val="21"/>
              </w:rPr>
            </w:pPr>
            <w:r>
              <w:rPr>
                <w:rFonts w:hint="eastAsia" w:ascii="仿宋_GB2312" w:eastAsia="仿宋_GB2312"/>
                <w:szCs w:val="21"/>
              </w:rPr>
              <w:t>对汽车生产线进行信息化及智能化改造，实现生产环节数据化、智能化。</w:t>
            </w:r>
          </w:p>
        </w:tc>
        <w:tc>
          <w:tcPr>
            <w:tcW w:w="2431" w:type="dxa"/>
            <w:shd w:val="clear" w:color="auto" w:fill="auto"/>
            <w:noWrap w:val="0"/>
            <w:vAlign w:val="center"/>
          </w:tcPr>
          <w:p>
            <w:pPr>
              <w:spacing w:line="320" w:lineRule="exact"/>
              <w:rPr>
                <w:rFonts w:ascii="仿宋_GB2312" w:hAnsi="Calibri" w:eastAsia="仿宋_GB2312"/>
                <w:szCs w:val="21"/>
              </w:rPr>
            </w:pPr>
            <w:r>
              <w:rPr>
                <w:rFonts w:hint="eastAsia" w:ascii="仿宋_GB2312" w:eastAsia="仿宋_GB2312"/>
                <w:szCs w:val="21"/>
              </w:rPr>
              <w:t>设计方案已通过，正在与工信局就资金到位情况进行对接。</w:t>
            </w:r>
          </w:p>
        </w:tc>
        <w:tc>
          <w:tcPr>
            <w:tcW w:w="1134" w:type="dxa"/>
            <w:shd w:val="clear" w:color="auto" w:fill="FFFFFF"/>
            <w:noWrap w:val="0"/>
            <w:vAlign w:val="center"/>
          </w:tcPr>
          <w:p>
            <w:pPr>
              <w:spacing w:line="320" w:lineRule="exact"/>
              <w:jc w:val="center"/>
              <w:rPr>
                <w:rFonts w:ascii="仿宋_GB2312" w:hAnsi="Calibri" w:eastAsia="仿宋_GB2312"/>
                <w:szCs w:val="21"/>
              </w:rPr>
            </w:pPr>
            <w:r>
              <w:rPr>
                <w:rFonts w:hint="eastAsia" w:ascii="仿宋_GB2312" w:eastAsia="仿宋_GB2312"/>
                <w:szCs w:val="21"/>
              </w:rPr>
              <w:t>联通铜川分公司</w:t>
            </w:r>
          </w:p>
        </w:tc>
        <w:tc>
          <w:tcPr>
            <w:tcW w:w="850" w:type="dxa"/>
            <w:shd w:val="clear" w:color="auto" w:fill="FFFFFF"/>
            <w:noWrap w:val="0"/>
            <w:vAlign w:val="center"/>
          </w:tcPr>
          <w:p>
            <w:pPr>
              <w:spacing w:line="320" w:lineRule="exact"/>
              <w:jc w:val="center"/>
              <w:rPr>
                <w:rFonts w:ascii="仿宋_GB2312" w:hAnsi="宋体" w:eastAsia="仿宋_GB2312" w:cs="宋体"/>
                <w:szCs w:val="21"/>
              </w:rPr>
            </w:pPr>
            <w:r>
              <w:rPr>
                <w:rFonts w:hint="eastAsia" w:ascii="仿宋_GB2312" w:hAnsi="宋体" w:eastAsia="仿宋_GB2312" w:cs="宋体"/>
                <w:szCs w:val="21"/>
              </w:rPr>
              <w:t>前期</w:t>
            </w:r>
          </w:p>
        </w:tc>
      </w:tr>
    </w:tbl>
    <w:p>
      <w:pPr>
        <w:jc w:val="left"/>
        <w:rPr>
          <w:rFonts w:ascii="黑体" w:hAnsi="黑体" w:eastAsia="黑体"/>
          <w:sz w:val="32"/>
          <w:szCs w:val="32"/>
        </w:rPr>
      </w:pPr>
    </w:p>
    <w:p>
      <w:pPr>
        <w:jc w:val="left"/>
        <w:rPr>
          <w:rFonts w:ascii="黑体" w:hAnsi="黑体" w:eastAsia="黑体"/>
          <w:sz w:val="32"/>
          <w:szCs w:val="32"/>
        </w:rPr>
        <w:sectPr>
          <w:pgSz w:w="16838" w:h="11906" w:orient="landscape"/>
          <w:pgMar w:top="1531" w:right="2098" w:bottom="1531" w:left="1985" w:header="851" w:footer="1644" w:gutter="0"/>
          <w:pgNumType w:fmt="numberInDash" w:start="1"/>
          <w:cols w:space="720" w:num="1"/>
          <w:docGrid w:type="linesAndChars" w:linePitch="312" w:charSpace="0"/>
        </w:sectPr>
      </w:pPr>
    </w:p>
    <w:p>
      <w:bookmarkStart w:id="0" w:name="_GoBack"/>
      <w:bookmarkEnd w:id="0"/>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FC269B"/>
    <w:rsid w:val="6A192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qFormat/>
    <w:uiPriority w:val="0"/>
    <w:pPr>
      <w:spacing w:after="120" w:afterLines="0"/>
      <w:ind w:left="420" w:leftChars="200"/>
    </w:pPr>
    <w:rPr>
      <w:rFonts w:ascii="Times New Roman" w:hAnsi="Times New Roman" w:eastAsia="宋体" w:cs="Times New Roman"/>
      <w:kern w:val="2"/>
      <w:sz w:val="21"/>
    </w:rPr>
  </w:style>
  <w:style w:type="paragraph" w:styleId="4">
    <w:name w:val="Normal Indent"/>
    <w:basedOn w:val="1"/>
    <w:unhideWhenUsed/>
    <w:qFormat/>
    <w:uiPriority w:val="99"/>
    <w:pPr>
      <w:ind w:firstLine="420" w:firstLineChars="200"/>
    </w:pPr>
    <w:rPr>
      <w:rFonts w:ascii="Calibri" w:hAnsi="Calibri"/>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2021-05-31T00:34:00Z</dcterms:created>
  <dc:creator>lenovo</dc:creator>
  <cp:lastModifiedBy>水营之寨</cp:lastModifiedBy>
  <dcterms:modified xsi:type="dcterms:W3CDTF">2021-09-13T02:03:42Z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C9372481625A47ABBA3B4F6826DFAEBC</vt:lpwstr>
  </property>
</Properties>
</file>